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22255">
      <w:pPr>
        <w:pStyle w:val="2"/>
      </w:pPr>
      <w:bookmarkStart w:id="0" w:name="_Toc15306267"/>
    </w:p>
    <w:p w14:paraId="1F0748F1">
      <w:pPr>
        <w:spacing w:line="600" w:lineRule="exact"/>
        <w:jc w:val="center"/>
        <w:outlineLvl w:val="9"/>
        <w:rPr>
          <w:rFonts w:ascii="方正小标宋简体" w:hAnsi="宋体" w:eastAsia="方正小标宋简体"/>
          <w:color w:val="000000"/>
          <w:sz w:val="72"/>
          <w:szCs w:val="72"/>
        </w:rPr>
      </w:pPr>
    </w:p>
    <w:p w14:paraId="0E4CDFBA">
      <w:pPr>
        <w:spacing w:line="600" w:lineRule="exact"/>
        <w:jc w:val="center"/>
        <w:outlineLvl w:val="9"/>
        <w:rPr>
          <w:rFonts w:ascii="方正小标宋简体" w:hAnsi="宋体" w:eastAsia="方正小标宋简体"/>
          <w:color w:val="000000"/>
          <w:sz w:val="72"/>
          <w:szCs w:val="72"/>
        </w:rPr>
      </w:pPr>
    </w:p>
    <w:p w14:paraId="275B0E02">
      <w:pPr>
        <w:bidi w:val="0"/>
      </w:pPr>
    </w:p>
    <w:bookmarkEnd w:id="0"/>
    <w:p w14:paraId="7F0B5E07">
      <w:pPr>
        <w:autoSpaceDE w:val="0"/>
        <w:autoSpaceDN w:val="0"/>
        <w:adjustRightInd w:val="0"/>
        <w:jc w:val="center"/>
        <w:rPr>
          <w:rFonts w:hint="eastAsia" w:ascii="Times New Roman" w:hAnsi="Times New Roman" w:eastAsia="方正小标宋_GBK" w:cs="Times New Roman"/>
          <w:b w:val="0"/>
          <w:bCs w:val="0"/>
          <w:kern w:val="2"/>
          <w:sz w:val="52"/>
          <w:szCs w:val="52"/>
          <w:lang w:val="zh-CN" w:eastAsia="zh-CN" w:bidi="ar-SA"/>
        </w:rPr>
      </w:pPr>
      <w:bookmarkStart w:id="1" w:name="_Toc15377426"/>
      <w:bookmarkStart w:id="2" w:name="_Toc131210289"/>
      <w:bookmarkStart w:id="3" w:name="_Toc15396598"/>
      <w:bookmarkStart w:id="4" w:name="_Toc15396476"/>
      <w:bookmarkStart w:id="5" w:name="_Toc15378442"/>
      <w:bookmarkStart w:id="6" w:name="_Toc15377194"/>
      <w:bookmarkStart w:id="7" w:name="_Toc28726"/>
      <w:bookmarkStart w:id="8" w:name="_Toc15306268"/>
      <w:r>
        <w:rPr>
          <w:rFonts w:hint="eastAsia" w:eastAsia="方正小标宋_GBK" w:cs="Times New Roman"/>
          <w:b w:val="0"/>
          <w:bCs w:val="0"/>
          <w:kern w:val="2"/>
          <w:sz w:val="52"/>
          <w:szCs w:val="52"/>
          <w:lang w:val="zh-CN" w:eastAsia="zh-CN" w:bidi="ar-SA"/>
        </w:rPr>
        <w:t>2024</w:t>
      </w:r>
      <w:r>
        <w:rPr>
          <w:rFonts w:hint="eastAsia" w:ascii="Times New Roman" w:hAnsi="Times New Roman" w:eastAsia="方正小标宋_GBK" w:cs="Times New Roman"/>
          <w:b w:val="0"/>
          <w:bCs w:val="0"/>
          <w:kern w:val="2"/>
          <w:sz w:val="52"/>
          <w:szCs w:val="52"/>
          <w:lang w:val="zh-CN" w:eastAsia="zh-CN" w:bidi="ar-SA"/>
        </w:rPr>
        <w:t>年度</w:t>
      </w:r>
    </w:p>
    <w:p w14:paraId="21553233">
      <w:pPr>
        <w:autoSpaceDE w:val="0"/>
        <w:autoSpaceDN w:val="0"/>
        <w:adjustRightInd w:val="0"/>
        <w:jc w:val="center"/>
        <w:rPr>
          <w:rFonts w:hint="eastAsia" w:ascii="Times New Roman" w:hAnsi="Times New Roman" w:eastAsia="方正小标宋_GBK" w:cs="Times New Roman"/>
          <w:b w:val="0"/>
          <w:bCs w:val="0"/>
          <w:kern w:val="2"/>
          <w:sz w:val="44"/>
          <w:szCs w:val="44"/>
          <w:lang w:val="zh-CN" w:eastAsia="zh-CN" w:bidi="ar-SA"/>
        </w:rPr>
      </w:pPr>
      <w:r>
        <w:rPr>
          <w:rFonts w:hint="eastAsia" w:ascii="Times New Roman" w:hAnsi="Times New Roman" w:eastAsia="方正小标宋_GBK" w:cs="Times New Roman"/>
          <w:b w:val="0"/>
          <w:bCs w:val="0"/>
          <w:kern w:val="2"/>
          <w:sz w:val="52"/>
          <w:szCs w:val="52"/>
          <w:lang w:val="zh-CN" w:eastAsia="zh-CN" w:bidi="ar-SA"/>
        </w:rPr>
        <w:t>广安市不动产登记中心</w:t>
      </w:r>
      <w:bookmarkEnd w:id="1"/>
      <w:bookmarkEnd w:id="2"/>
      <w:bookmarkEnd w:id="3"/>
      <w:bookmarkEnd w:id="4"/>
      <w:bookmarkEnd w:id="5"/>
      <w:bookmarkEnd w:id="6"/>
      <w:bookmarkEnd w:id="7"/>
      <w:bookmarkEnd w:id="8"/>
      <w:r>
        <w:rPr>
          <w:rFonts w:hint="eastAsia" w:ascii="Times New Roman" w:hAnsi="Times New Roman" w:eastAsia="方正小标宋_GBK" w:cs="Times New Roman"/>
          <w:b w:val="0"/>
          <w:bCs w:val="0"/>
          <w:kern w:val="2"/>
          <w:sz w:val="52"/>
          <w:szCs w:val="52"/>
          <w:lang w:val="zh-CN" w:eastAsia="zh-CN" w:bidi="ar-SA"/>
        </w:rPr>
        <w:t>单位决算</w:t>
      </w:r>
    </w:p>
    <w:p w14:paraId="574B9994">
      <w:pPr>
        <w:pStyle w:val="15"/>
      </w:pPr>
      <w:r>
        <w:rPr>
          <w:rFonts w:ascii="方正小标宋简体" w:hAnsi="宋体" w:eastAsia="方正小标宋简体"/>
          <w:color w:val="000000"/>
          <w:sz w:val="36"/>
          <w:szCs w:val="36"/>
        </w:rPr>
        <w:br w:type="page"/>
      </w:r>
    </w:p>
    <w:sdt>
      <w:sdtPr>
        <w:rPr>
          <w:rFonts w:hint="eastAsia" w:ascii="黑体" w:hAnsi="黑体" w:eastAsia="黑体"/>
          <w:color w:val="000000"/>
          <w:sz w:val="48"/>
          <w:szCs w:val="48"/>
          <w:lang w:val="en-US" w:eastAsia="zh-CN"/>
        </w:rPr>
        <w:id w:val="147475002"/>
        <w15:color w:val="DBDBDB"/>
        <w:docPartObj>
          <w:docPartGallery w:val="Table of Contents"/>
          <w:docPartUnique/>
        </w:docPartObj>
      </w:sdtPr>
      <w:sdtEndPr>
        <w:rPr>
          <w:rFonts w:hint="eastAsia" w:ascii="方正小标宋_GBK" w:hAnsi="方正小标宋_GBK" w:eastAsia="方正小标宋_GBK" w:cs="方正小标宋_GBK"/>
          <w:color w:val="000000"/>
          <w:kern w:val="2"/>
          <w:sz w:val="44"/>
          <w:szCs w:val="44"/>
          <w:lang w:val="en-US" w:eastAsia="zh-CN" w:bidi="ar-SA"/>
        </w:rPr>
      </w:sdtEndPr>
      <w:sdtContent>
        <w:p w14:paraId="2A95CF1E">
          <w:pPr>
            <w:widowControl/>
            <w:jc w:val="center"/>
            <w:rPr>
              <w:rFonts w:hint="eastAsia" w:ascii="黑体" w:hAnsi="黑体" w:eastAsia="黑体"/>
              <w:color w:val="000000"/>
              <w:sz w:val="48"/>
              <w:szCs w:val="48"/>
            </w:rPr>
          </w:pP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14:paraId="1BF54588">
          <w:pPr>
            <w:pStyle w:val="15"/>
            <w:rPr>
              <w:color w:val="auto"/>
            </w:rPr>
          </w:pPr>
          <w:r>
            <w:rPr>
              <w:rFonts w:hint="eastAsia"/>
              <w:color w:val="auto"/>
            </w:rPr>
            <w:t>公开时间：202</w:t>
          </w:r>
          <w:r>
            <w:rPr>
              <w:rFonts w:hint="eastAsia"/>
              <w:color w:val="auto"/>
              <w:lang w:val="en-US" w:eastAsia="zh-CN"/>
            </w:rPr>
            <w:t>5</w:t>
          </w:r>
          <w:r>
            <w:rPr>
              <w:rFonts w:hint="eastAsia"/>
              <w:color w:val="auto"/>
              <w:lang w:eastAsia="zh-CN"/>
            </w:rPr>
            <w:t>年</w:t>
          </w:r>
          <w:r>
            <w:rPr>
              <w:rFonts w:hint="eastAsia"/>
              <w:color w:val="auto"/>
              <w:lang w:val="en-US" w:eastAsia="zh-CN"/>
            </w:rPr>
            <w:t>9</w:t>
          </w:r>
          <w:r>
            <w:rPr>
              <w:rFonts w:hint="eastAsia"/>
              <w:color w:val="auto"/>
            </w:rPr>
            <w:t>月</w:t>
          </w:r>
          <w:r>
            <w:rPr>
              <w:rFonts w:hint="eastAsia"/>
              <w:color w:val="auto"/>
              <w:lang w:val="en-US" w:eastAsia="zh-CN"/>
            </w:rPr>
            <w:t>24</w:t>
          </w:r>
          <w:bookmarkStart w:id="125" w:name="_GoBack"/>
          <w:bookmarkEnd w:id="125"/>
          <w:r>
            <w:rPr>
              <w:rFonts w:hint="eastAsia"/>
              <w:color w:val="auto"/>
            </w:rPr>
            <w:t>日</w:t>
          </w:r>
        </w:p>
        <w:p w14:paraId="12FA2108">
          <w:pPr>
            <w:pStyle w:val="15"/>
            <w:keepNext w:val="0"/>
            <w:keepLines w:val="0"/>
            <w:pageBreakBefore w:val="0"/>
            <w:widowControl w:val="0"/>
            <w:tabs>
              <w:tab w:val="right" w:leader="dot" w:pos="8844"/>
              <w:tab w:val="clear" w:pos="8296"/>
            </w:tabs>
            <w:kinsoku/>
            <w:wordWrap/>
            <w:overflowPunct/>
            <w:topLinePunct w:val="0"/>
            <w:autoSpaceDE/>
            <w:autoSpaceDN/>
            <w:bidi w:val="0"/>
            <w:adjustRightInd/>
            <w:snapToGrid/>
            <w:spacing w:before="0" w:line="480" w:lineRule="auto"/>
            <w:ind w:leftChars="0"/>
            <w:textAlignment w:val="auto"/>
            <w:rPr>
              <w:sz w:val="24"/>
              <w:szCs w:val="24"/>
            </w:rPr>
          </w:pPr>
          <w:r>
            <w:rPr>
              <w:sz w:val="24"/>
              <w:szCs w:val="24"/>
            </w:rPr>
            <w:fldChar w:fldCharType="begin"/>
          </w:r>
          <w:r>
            <w:rPr>
              <w:sz w:val="24"/>
              <w:szCs w:val="24"/>
            </w:rPr>
            <w:instrText xml:space="preserve">TOC \o "1-3" \h \u </w:instrText>
          </w:r>
          <w:r>
            <w:rPr>
              <w:sz w:val="24"/>
              <w:szCs w:val="24"/>
            </w:rPr>
            <w:fldChar w:fldCharType="separate"/>
          </w:r>
          <w:r>
            <w:rPr>
              <w:rFonts w:hint="eastAsia" w:ascii="方正黑体_GBK" w:hAnsi="方正黑体_GBK" w:eastAsia="方正黑体_GBK" w:cs="方正黑体_GBK"/>
              <w:kern w:val="2"/>
              <w:sz w:val="24"/>
              <w:szCs w:val="24"/>
              <w:lang w:val="en-US" w:eastAsia="zh-CN" w:bidi="ar-SA"/>
            </w:rPr>
            <w:fldChar w:fldCharType="begin"/>
          </w:r>
          <w:r>
            <w:rPr>
              <w:rFonts w:hint="eastAsia" w:ascii="方正黑体_GBK" w:hAnsi="方正黑体_GBK" w:eastAsia="方正黑体_GBK" w:cs="方正黑体_GBK"/>
              <w:kern w:val="2"/>
              <w:sz w:val="24"/>
              <w:szCs w:val="24"/>
              <w:lang w:val="en-US" w:eastAsia="zh-CN" w:bidi="ar-SA"/>
            </w:rPr>
            <w:instrText xml:space="preserve"> HYPERLINK \l _Toc532085252 </w:instrText>
          </w:r>
          <w:r>
            <w:rPr>
              <w:rFonts w:hint="eastAsia" w:ascii="方正黑体_GBK" w:hAnsi="方正黑体_GBK" w:eastAsia="方正黑体_GBK" w:cs="方正黑体_GBK"/>
              <w:kern w:val="2"/>
              <w:sz w:val="24"/>
              <w:szCs w:val="24"/>
              <w:lang w:val="en-US" w:eastAsia="zh-CN" w:bidi="ar-SA"/>
            </w:rPr>
            <w:fldChar w:fldCharType="separate"/>
          </w:r>
          <w:r>
            <w:rPr>
              <w:rFonts w:hint="eastAsia" w:ascii="方正黑体_GBK" w:hAnsi="方正黑体_GBK" w:eastAsia="方正黑体_GBK" w:cs="方正黑体_GBK"/>
              <w:kern w:val="2"/>
              <w:sz w:val="24"/>
              <w:szCs w:val="24"/>
              <w:lang w:val="en-US" w:eastAsia="zh-CN" w:bidi="ar-SA"/>
            </w:rPr>
            <w:t xml:space="preserve">第一部分 </w:t>
          </w:r>
          <w:r>
            <w:rPr>
              <w:rFonts w:hint="default" w:ascii="方正黑体_GBK" w:hAnsi="方正黑体_GBK" w:eastAsia="方正黑体_GBK" w:cs="方正黑体_GBK"/>
              <w:kern w:val="2"/>
              <w:sz w:val="24"/>
              <w:szCs w:val="24"/>
              <w:lang w:val="en" w:eastAsia="zh-CN" w:bidi="ar-SA"/>
            </w:rPr>
            <w:t>单位</w:t>
          </w:r>
          <w:r>
            <w:rPr>
              <w:rFonts w:hint="eastAsia" w:ascii="方正黑体_GBK" w:hAnsi="方正黑体_GBK" w:eastAsia="方正黑体_GBK" w:cs="方正黑体_GBK"/>
              <w:kern w:val="2"/>
              <w:sz w:val="24"/>
              <w:szCs w:val="24"/>
              <w:lang w:val="en-US" w:eastAsia="zh-CN" w:bidi="ar-SA"/>
            </w:rPr>
            <w:t>概况</w:t>
          </w:r>
          <w:r>
            <w:rPr>
              <w:rFonts w:hint="eastAsia" w:ascii="方正黑体_GBK" w:hAnsi="方正黑体_GBK" w:eastAsia="方正黑体_GBK" w:cs="方正黑体_GBK"/>
              <w:kern w:val="2"/>
              <w:sz w:val="24"/>
              <w:szCs w:val="24"/>
              <w:lang w:val="en-US" w:eastAsia="zh-CN" w:bidi="ar-SA"/>
            </w:rPr>
            <w:tab/>
          </w:r>
          <w:r>
            <w:rPr>
              <w:rFonts w:hint="eastAsia" w:ascii="方正黑体_GBK" w:hAnsi="方正黑体_GBK" w:eastAsia="方正黑体_GBK" w:cs="方正黑体_GBK"/>
              <w:kern w:val="2"/>
              <w:sz w:val="24"/>
              <w:szCs w:val="24"/>
              <w:lang w:val="en-US" w:eastAsia="zh-CN" w:bidi="ar-SA"/>
            </w:rPr>
            <w:t>1</w:t>
          </w:r>
          <w:r>
            <w:rPr>
              <w:rFonts w:hint="eastAsia" w:ascii="方正黑体_GBK" w:hAnsi="方正黑体_GBK" w:eastAsia="方正黑体_GBK" w:cs="方正黑体_GBK"/>
              <w:kern w:val="2"/>
              <w:sz w:val="24"/>
              <w:szCs w:val="24"/>
              <w:lang w:val="en-US" w:eastAsia="zh-CN" w:bidi="ar-SA"/>
            </w:rPr>
            <w:fldChar w:fldCharType="end"/>
          </w:r>
        </w:p>
        <w:p w14:paraId="681953BB">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Chars="0"/>
            <w:textAlignment w:val="auto"/>
            <w:rPr>
              <w:sz w:val="24"/>
              <w:szCs w:val="24"/>
            </w:rPr>
          </w:pPr>
          <w:r>
            <w:rPr>
              <w:sz w:val="24"/>
              <w:szCs w:val="24"/>
            </w:rPr>
            <w:fldChar w:fldCharType="begin"/>
          </w:r>
          <w:r>
            <w:rPr>
              <w:sz w:val="24"/>
              <w:szCs w:val="24"/>
            </w:rPr>
            <w:instrText xml:space="preserve"> HYPERLINK \l _Toc1604100572 </w:instrText>
          </w:r>
          <w:r>
            <w:rPr>
              <w:sz w:val="24"/>
              <w:szCs w:val="24"/>
            </w:rPr>
            <w:fldChar w:fldCharType="separate"/>
          </w:r>
          <w:r>
            <w:rPr>
              <w:rFonts w:hint="eastAsia" w:ascii="方正黑体_GBK" w:hAnsi="方正黑体_GBK" w:eastAsia="方正黑体_GBK" w:cs="方正黑体_GBK"/>
              <w:sz w:val="24"/>
              <w:szCs w:val="24"/>
            </w:rPr>
            <w:t>一、</w:t>
          </w:r>
          <w:r>
            <w:rPr>
              <w:rFonts w:hint="eastAsia" w:ascii="方正黑体_GBK" w:hAnsi="方正黑体_GBK" w:eastAsia="方正黑体_GBK" w:cs="方正黑体_GBK"/>
              <w:sz w:val="24"/>
              <w:szCs w:val="24"/>
              <w:lang w:eastAsia="zh-CN"/>
            </w:rPr>
            <w:t>主要职责</w:t>
          </w:r>
          <w:r>
            <w:rPr>
              <w:rFonts w:hint="eastAsia" w:ascii="方正黑体_GBK" w:hAnsi="方正黑体_GBK" w:eastAsia="方正黑体_GBK" w:cs="方正黑体_GBK"/>
              <w:kern w:val="2"/>
              <w:sz w:val="24"/>
              <w:szCs w:val="24"/>
              <w:lang w:val="en-US" w:eastAsia="zh-CN" w:bidi="ar-SA"/>
            </w:rPr>
            <w:tab/>
          </w:r>
          <w:r>
            <w:rPr>
              <w:rFonts w:hint="eastAsia" w:ascii="方正黑体_GBK" w:hAnsi="方正黑体_GBK" w:eastAsia="方正黑体_GBK" w:cs="方正黑体_GBK"/>
              <w:kern w:val="2"/>
              <w:sz w:val="24"/>
              <w:szCs w:val="24"/>
              <w:lang w:val="en-US" w:eastAsia="zh-CN" w:bidi="ar-SA"/>
            </w:rPr>
            <w:t>1</w:t>
          </w:r>
          <w:r>
            <w:rPr>
              <w:rFonts w:hint="eastAsia"/>
              <w:sz w:val="24"/>
              <w:szCs w:val="24"/>
              <w:lang w:val="en-US" w:eastAsia="zh-CN"/>
            </w:rPr>
            <w:t xml:space="preserve"> </w:t>
          </w:r>
          <w:r>
            <w:rPr>
              <w:sz w:val="24"/>
              <w:szCs w:val="24"/>
            </w:rPr>
            <w:fldChar w:fldCharType="end"/>
          </w:r>
        </w:p>
        <w:p w14:paraId="2F6DC15B">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Chars="0"/>
            <w:textAlignment w:val="auto"/>
            <w:rPr>
              <w:sz w:val="24"/>
              <w:szCs w:val="24"/>
            </w:rPr>
          </w:pPr>
          <w:r>
            <w:rPr>
              <w:sz w:val="24"/>
              <w:szCs w:val="24"/>
            </w:rPr>
            <w:fldChar w:fldCharType="begin"/>
          </w:r>
          <w:r>
            <w:rPr>
              <w:sz w:val="24"/>
              <w:szCs w:val="24"/>
            </w:rPr>
            <w:instrText xml:space="preserve"> HYPERLINK \l _Toc2033674789 </w:instrText>
          </w:r>
          <w:r>
            <w:rPr>
              <w:sz w:val="24"/>
              <w:szCs w:val="24"/>
            </w:rPr>
            <w:fldChar w:fldCharType="separate"/>
          </w:r>
          <w:r>
            <w:rPr>
              <w:rFonts w:hint="default" w:ascii="方正黑体_GBK" w:hAnsi="方正黑体_GBK" w:eastAsia="方正黑体_GBK" w:cs="方正黑体_GBK"/>
              <w:sz w:val="24"/>
              <w:szCs w:val="24"/>
            </w:rPr>
            <w:t>二、机构设置</w:t>
          </w:r>
          <w:r>
            <w:rPr>
              <w:sz w:val="24"/>
              <w:szCs w:val="24"/>
            </w:rPr>
            <w:tab/>
          </w:r>
          <w:r>
            <w:rPr>
              <w:sz w:val="24"/>
              <w:szCs w:val="24"/>
            </w:rPr>
            <w:fldChar w:fldCharType="begin"/>
          </w:r>
          <w:r>
            <w:rPr>
              <w:sz w:val="24"/>
              <w:szCs w:val="24"/>
            </w:rPr>
            <w:instrText xml:space="preserve"> PAGEREF _Toc2033674789 </w:instrText>
          </w:r>
          <w:r>
            <w:rPr>
              <w:sz w:val="24"/>
              <w:szCs w:val="24"/>
            </w:rPr>
            <w:fldChar w:fldCharType="separate"/>
          </w:r>
          <w:r>
            <w:rPr>
              <w:sz w:val="24"/>
              <w:szCs w:val="24"/>
            </w:rPr>
            <w:t>2</w:t>
          </w:r>
          <w:r>
            <w:rPr>
              <w:sz w:val="24"/>
              <w:szCs w:val="24"/>
            </w:rPr>
            <w:fldChar w:fldCharType="end"/>
          </w:r>
          <w:r>
            <w:rPr>
              <w:sz w:val="24"/>
              <w:szCs w:val="24"/>
            </w:rPr>
            <w:fldChar w:fldCharType="end"/>
          </w:r>
        </w:p>
        <w:p w14:paraId="4C5B12D2">
          <w:pPr>
            <w:pStyle w:val="15"/>
            <w:keepNext w:val="0"/>
            <w:keepLines w:val="0"/>
            <w:pageBreakBefore w:val="0"/>
            <w:widowControl w:val="0"/>
            <w:tabs>
              <w:tab w:val="right" w:leader="dot" w:pos="8844"/>
              <w:tab w:val="clear" w:pos="8296"/>
            </w:tabs>
            <w:kinsoku/>
            <w:wordWrap/>
            <w:overflowPunct/>
            <w:topLinePunct w:val="0"/>
            <w:autoSpaceDE/>
            <w:autoSpaceDN/>
            <w:bidi w:val="0"/>
            <w:adjustRightInd/>
            <w:snapToGrid/>
            <w:spacing w:before="0" w:line="480" w:lineRule="auto"/>
            <w:ind w:leftChars="0"/>
            <w:textAlignment w:val="auto"/>
            <w:rPr>
              <w:rFonts w:hint="eastAsia" w:ascii="方正黑体_GBK" w:hAnsi="方正黑体_GBK" w:eastAsia="方正黑体_GBK" w:cs="方正黑体_GBK"/>
              <w:kern w:val="2"/>
              <w:sz w:val="24"/>
              <w:szCs w:val="24"/>
              <w:lang w:val="en-US" w:eastAsia="zh-CN" w:bidi="ar-SA"/>
            </w:rPr>
          </w:pPr>
          <w:r>
            <w:rPr>
              <w:rFonts w:hint="eastAsia" w:ascii="方正黑体_GBK" w:hAnsi="方正黑体_GBK" w:eastAsia="方正黑体_GBK" w:cs="方正黑体_GBK"/>
              <w:kern w:val="2"/>
              <w:sz w:val="24"/>
              <w:szCs w:val="24"/>
              <w:lang w:val="en-US" w:eastAsia="zh-CN" w:bidi="ar-SA"/>
            </w:rPr>
            <w:fldChar w:fldCharType="begin"/>
          </w:r>
          <w:r>
            <w:rPr>
              <w:rFonts w:hint="eastAsia" w:ascii="方正黑体_GBK" w:hAnsi="方正黑体_GBK" w:eastAsia="方正黑体_GBK" w:cs="方正黑体_GBK"/>
              <w:kern w:val="2"/>
              <w:sz w:val="24"/>
              <w:szCs w:val="24"/>
              <w:lang w:val="en-US" w:eastAsia="zh-CN" w:bidi="ar-SA"/>
            </w:rPr>
            <w:instrText xml:space="preserve"> HYPERLINK \l _Toc534842205 </w:instrText>
          </w:r>
          <w:r>
            <w:rPr>
              <w:rFonts w:hint="eastAsia" w:ascii="方正黑体_GBK" w:hAnsi="方正黑体_GBK" w:eastAsia="方正黑体_GBK" w:cs="方正黑体_GBK"/>
              <w:kern w:val="2"/>
              <w:sz w:val="24"/>
              <w:szCs w:val="24"/>
              <w:lang w:val="en-US" w:eastAsia="zh-CN" w:bidi="ar-SA"/>
            </w:rPr>
            <w:fldChar w:fldCharType="separate"/>
          </w:r>
          <w:r>
            <w:rPr>
              <w:rFonts w:hint="eastAsia" w:ascii="方正黑体_GBK" w:hAnsi="方正黑体_GBK" w:eastAsia="方正黑体_GBK" w:cs="方正黑体_GBK"/>
              <w:kern w:val="2"/>
              <w:sz w:val="24"/>
              <w:szCs w:val="24"/>
              <w:lang w:val="en-US" w:eastAsia="zh-CN" w:bidi="ar-SA"/>
            </w:rPr>
            <w:t>第二部分 2024年度</w:t>
          </w:r>
          <w:r>
            <w:rPr>
              <w:rFonts w:hint="default" w:ascii="方正黑体_GBK" w:hAnsi="方正黑体_GBK" w:eastAsia="方正黑体_GBK" w:cs="方正黑体_GBK"/>
              <w:kern w:val="2"/>
              <w:sz w:val="24"/>
              <w:szCs w:val="24"/>
              <w:lang w:val="en" w:eastAsia="zh-CN" w:bidi="ar-SA"/>
            </w:rPr>
            <w:t>单位</w:t>
          </w:r>
          <w:r>
            <w:rPr>
              <w:rFonts w:hint="eastAsia" w:ascii="方正黑体_GBK" w:hAnsi="方正黑体_GBK" w:eastAsia="方正黑体_GBK" w:cs="方正黑体_GBK"/>
              <w:kern w:val="2"/>
              <w:sz w:val="24"/>
              <w:szCs w:val="24"/>
              <w:lang w:val="en-US" w:eastAsia="zh-CN" w:bidi="ar-SA"/>
            </w:rPr>
            <w:t>决算情况说明</w:t>
          </w:r>
          <w:r>
            <w:rPr>
              <w:rFonts w:hint="eastAsia" w:ascii="方正黑体_GBK" w:hAnsi="方正黑体_GBK" w:eastAsia="方正黑体_GBK" w:cs="方正黑体_GBK"/>
              <w:kern w:val="2"/>
              <w:sz w:val="24"/>
              <w:szCs w:val="24"/>
              <w:lang w:val="en-US" w:eastAsia="zh-CN" w:bidi="ar-SA"/>
            </w:rPr>
            <w:tab/>
          </w:r>
          <w:r>
            <w:rPr>
              <w:rFonts w:hint="eastAsia" w:ascii="方正黑体_GBK" w:hAnsi="方正黑体_GBK" w:eastAsia="方正黑体_GBK" w:cs="方正黑体_GBK"/>
              <w:kern w:val="2"/>
              <w:sz w:val="24"/>
              <w:szCs w:val="24"/>
              <w:lang w:val="en-US" w:eastAsia="zh-CN" w:bidi="ar-SA"/>
            </w:rPr>
            <w:fldChar w:fldCharType="begin"/>
          </w:r>
          <w:r>
            <w:rPr>
              <w:rFonts w:hint="eastAsia" w:ascii="方正黑体_GBK" w:hAnsi="方正黑体_GBK" w:eastAsia="方正黑体_GBK" w:cs="方正黑体_GBK"/>
              <w:kern w:val="2"/>
              <w:sz w:val="24"/>
              <w:szCs w:val="24"/>
              <w:lang w:val="en-US" w:eastAsia="zh-CN" w:bidi="ar-SA"/>
            </w:rPr>
            <w:instrText xml:space="preserve"> PAGEREF _Toc534842205 </w:instrText>
          </w:r>
          <w:r>
            <w:rPr>
              <w:rFonts w:hint="eastAsia" w:ascii="方正黑体_GBK" w:hAnsi="方正黑体_GBK" w:eastAsia="方正黑体_GBK" w:cs="方正黑体_GBK"/>
              <w:kern w:val="2"/>
              <w:sz w:val="24"/>
              <w:szCs w:val="24"/>
              <w:lang w:val="en-US" w:eastAsia="zh-CN" w:bidi="ar-SA"/>
            </w:rPr>
            <w:fldChar w:fldCharType="separate"/>
          </w:r>
          <w:r>
            <w:rPr>
              <w:rFonts w:hint="eastAsia" w:ascii="方正黑体_GBK" w:hAnsi="方正黑体_GBK" w:eastAsia="方正黑体_GBK" w:cs="方正黑体_GBK"/>
              <w:kern w:val="2"/>
              <w:sz w:val="24"/>
              <w:szCs w:val="24"/>
              <w:lang w:val="en-US" w:eastAsia="zh-CN" w:bidi="ar-SA"/>
            </w:rPr>
            <w:t>3</w:t>
          </w:r>
          <w:r>
            <w:rPr>
              <w:rFonts w:hint="eastAsia" w:ascii="方正黑体_GBK" w:hAnsi="方正黑体_GBK" w:eastAsia="方正黑体_GBK" w:cs="方正黑体_GBK"/>
              <w:kern w:val="2"/>
              <w:sz w:val="24"/>
              <w:szCs w:val="24"/>
              <w:lang w:val="en-US" w:eastAsia="zh-CN" w:bidi="ar-SA"/>
            </w:rPr>
            <w:fldChar w:fldCharType="end"/>
          </w:r>
          <w:r>
            <w:rPr>
              <w:rFonts w:hint="eastAsia" w:ascii="方正黑体_GBK" w:hAnsi="方正黑体_GBK" w:eastAsia="方正黑体_GBK" w:cs="方正黑体_GBK"/>
              <w:kern w:val="2"/>
              <w:sz w:val="24"/>
              <w:szCs w:val="24"/>
              <w:lang w:val="en-US" w:eastAsia="zh-CN" w:bidi="ar-SA"/>
            </w:rPr>
            <w:fldChar w:fldCharType="end"/>
          </w:r>
        </w:p>
        <w:p w14:paraId="20CE707C">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Chars="0"/>
            <w:textAlignment w:val="auto"/>
            <w:rPr>
              <w:sz w:val="24"/>
              <w:szCs w:val="24"/>
            </w:rPr>
          </w:pPr>
          <w:r>
            <w:rPr>
              <w:sz w:val="24"/>
              <w:szCs w:val="24"/>
            </w:rPr>
            <w:fldChar w:fldCharType="begin"/>
          </w:r>
          <w:r>
            <w:rPr>
              <w:sz w:val="24"/>
              <w:szCs w:val="24"/>
            </w:rPr>
            <w:instrText xml:space="preserve"> HYPERLINK \l _Toc1022724130 </w:instrText>
          </w:r>
          <w:r>
            <w:rPr>
              <w:sz w:val="24"/>
              <w:szCs w:val="24"/>
            </w:rPr>
            <w:fldChar w:fldCharType="separate"/>
          </w:r>
          <w:r>
            <w:rPr>
              <w:rFonts w:hint="default" w:ascii="方正黑体_GBK" w:hAnsi="方正黑体_GBK" w:eastAsia="方正黑体_GBK" w:cs="方正黑体_GBK"/>
              <w:sz w:val="24"/>
              <w:szCs w:val="24"/>
            </w:rPr>
            <w:t xml:space="preserve">一、 </w:t>
          </w:r>
          <w:r>
            <w:rPr>
              <w:rFonts w:hint="eastAsia" w:ascii="方正黑体_GBK" w:hAnsi="方正黑体_GBK" w:eastAsia="方正黑体_GBK" w:cs="方正黑体_GBK"/>
              <w:sz w:val="24"/>
              <w:szCs w:val="24"/>
            </w:rPr>
            <w:t>收入支出决算总体情况说明</w:t>
          </w:r>
          <w:r>
            <w:rPr>
              <w:sz w:val="24"/>
              <w:szCs w:val="24"/>
            </w:rPr>
            <w:tab/>
          </w:r>
          <w:r>
            <w:rPr>
              <w:sz w:val="24"/>
              <w:szCs w:val="24"/>
            </w:rPr>
            <w:fldChar w:fldCharType="begin"/>
          </w:r>
          <w:r>
            <w:rPr>
              <w:sz w:val="24"/>
              <w:szCs w:val="24"/>
            </w:rPr>
            <w:instrText xml:space="preserve"> PAGEREF _Toc1022724130 </w:instrText>
          </w:r>
          <w:r>
            <w:rPr>
              <w:sz w:val="24"/>
              <w:szCs w:val="24"/>
            </w:rPr>
            <w:fldChar w:fldCharType="separate"/>
          </w:r>
          <w:r>
            <w:rPr>
              <w:sz w:val="24"/>
              <w:szCs w:val="24"/>
            </w:rPr>
            <w:t>3</w:t>
          </w:r>
          <w:r>
            <w:rPr>
              <w:sz w:val="24"/>
              <w:szCs w:val="24"/>
            </w:rPr>
            <w:fldChar w:fldCharType="end"/>
          </w:r>
          <w:r>
            <w:rPr>
              <w:sz w:val="24"/>
              <w:szCs w:val="24"/>
            </w:rPr>
            <w:fldChar w:fldCharType="end"/>
          </w:r>
        </w:p>
        <w:p w14:paraId="7C7C64F3">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Chars="0"/>
            <w:textAlignment w:val="auto"/>
            <w:rPr>
              <w:sz w:val="24"/>
              <w:szCs w:val="24"/>
            </w:rPr>
          </w:pPr>
          <w:r>
            <w:rPr>
              <w:sz w:val="24"/>
              <w:szCs w:val="24"/>
            </w:rPr>
            <w:fldChar w:fldCharType="begin"/>
          </w:r>
          <w:r>
            <w:rPr>
              <w:sz w:val="24"/>
              <w:szCs w:val="24"/>
            </w:rPr>
            <w:instrText xml:space="preserve"> HYPERLINK \l _Toc2076571911 </w:instrText>
          </w:r>
          <w:r>
            <w:rPr>
              <w:sz w:val="24"/>
              <w:szCs w:val="24"/>
            </w:rPr>
            <w:fldChar w:fldCharType="separate"/>
          </w:r>
          <w:r>
            <w:rPr>
              <w:rFonts w:hint="default" w:ascii="方正黑体_GBK" w:hAnsi="方正黑体_GBK" w:eastAsia="方正黑体_GBK" w:cs="方正黑体_GBK"/>
              <w:sz w:val="24"/>
              <w:szCs w:val="24"/>
            </w:rPr>
            <w:t xml:space="preserve">二、 </w:t>
          </w:r>
          <w:r>
            <w:rPr>
              <w:rFonts w:hint="eastAsia" w:ascii="方正黑体_GBK" w:hAnsi="方正黑体_GBK" w:eastAsia="方正黑体_GBK" w:cs="方正黑体_GBK"/>
              <w:sz w:val="24"/>
              <w:szCs w:val="24"/>
            </w:rPr>
            <w:t>收入决算情况说明</w:t>
          </w:r>
          <w:r>
            <w:rPr>
              <w:sz w:val="24"/>
              <w:szCs w:val="24"/>
            </w:rPr>
            <w:tab/>
          </w:r>
          <w:r>
            <w:rPr>
              <w:sz w:val="24"/>
              <w:szCs w:val="24"/>
            </w:rPr>
            <w:fldChar w:fldCharType="begin"/>
          </w:r>
          <w:r>
            <w:rPr>
              <w:sz w:val="24"/>
              <w:szCs w:val="24"/>
            </w:rPr>
            <w:instrText xml:space="preserve"> PAGEREF _Toc2076571911 </w:instrText>
          </w:r>
          <w:r>
            <w:rPr>
              <w:sz w:val="24"/>
              <w:szCs w:val="24"/>
            </w:rPr>
            <w:fldChar w:fldCharType="separate"/>
          </w:r>
          <w:r>
            <w:rPr>
              <w:sz w:val="24"/>
              <w:szCs w:val="24"/>
            </w:rPr>
            <w:t>3</w:t>
          </w:r>
          <w:r>
            <w:rPr>
              <w:sz w:val="24"/>
              <w:szCs w:val="24"/>
            </w:rPr>
            <w:fldChar w:fldCharType="end"/>
          </w:r>
          <w:r>
            <w:rPr>
              <w:sz w:val="24"/>
              <w:szCs w:val="24"/>
            </w:rPr>
            <w:fldChar w:fldCharType="end"/>
          </w:r>
        </w:p>
        <w:p w14:paraId="450F25AD">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Chars="0"/>
            <w:textAlignment w:val="auto"/>
            <w:rPr>
              <w:sz w:val="24"/>
              <w:szCs w:val="24"/>
            </w:rPr>
          </w:pPr>
          <w:r>
            <w:rPr>
              <w:sz w:val="24"/>
              <w:szCs w:val="24"/>
            </w:rPr>
            <w:fldChar w:fldCharType="begin"/>
          </w:r>
          <w:r>
            <w:rPr>
              <w:sz w:val="24"/>
              <w:szCs w:val="24"/>
            </w:rPr>
            <w:instrText xml:space="preserve"> HYPERLINK \l _Toc1004602914 </w:instrText>
          </w:r>
          <w:r>
            <w:rPr>
              <w:sz w:val="24"/>
              <w:szCs w:val="24"/>
            </w:rPr>
            <w:fldChar w:fldCharType="separate"/>
          </w:r>
          <w:r>
            <w:rPr>
              <w:rFonts w:hint="default" w:ascii="方正黑体_GBK" w:hAnsi="方正黑体_GBK" w:eastAsia="方正黑体_GBK" w:cs="方正黑体_GBK"/>
              <w:sz w:val="24"/>
              <w:szCs w:val="24"/>
            </w:rPr>
            <w:t xml:space="preserve">三、 </w:t>
          </w:r>
          <w:r>
            <w:rPr>
              <w:rFonts w:hint="eastAsia" w:ascii="方正黑体_GBK" w:hAnsi="方正黑体_GBK" w:eastAsia="方正黑体_GBK" w:cs="方正黑体_GBK"/>
              <w:sz w:val="24"/>
              <w:szCs w:val="24"/>
            </w:rPr>
            <w:t>支出决算情况说明</w:t>
          </w:r>
          <w:r>
            <w:rPr>
              <w:sz w:val="24"/>
              <w:szCs w:val="24"/>
            </w:rPr>
            <w:tab/>
          </w:r>
          <w:r>
            <w:rPr>
              <w:sz w:val="24"/>
              <w:szCs w:val="24"/>
            </w:rPr>
            <w:fldChar w:fldCharType="begin"/>
          </w:r>
          <w:r>
            <w:rPr>
              <w:sz w:val="24"/>
              <w:szCs w:val="24"/>
            </w:rPr>
            <w:instrText xml:space="preserve"> PAGEREF _Toc1004602914 </w:instrText>
          </w:r>
          <w:r>
            <w:rPr>
              <w:sz w:val="24"/>
              <w:szCs w:val="24"/>
            </w:rPr>
            <w:fldChar w:fldCharType="separate"/>
          </w:r>
          <w:r>
            <w:rPr>
              <w:sz w:val="24"/>
              <w:szCs w:val="24"/>
            </w:rPr>
            <w:t>4</w:t>
          </w:r>
          <w:r>
            <w:rPr>
              <w:sz w:val="24"/>
              <w:szCs w:val="24"/>
            </w:rPr>
            <w:fldChar w:fldCharType="end"/>
          </w:r>
          <w:r>
            <w:rPr>
              <w:sz w:val="24"/>
              <w:szCs w:val="24"/>
            </w:rPr>
            <w:fldChar w:fldCharType="end"/>
          </w:r>
        </w:p>
        <w:p w14:paraId="3976C3E1">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Chars="0"/>
            <w:textAlignment w:val="auto"/>
            <w:rPr>
              <w:sz w:val="24"/>
              <w:szCs w:val="24"/>
            </w:rPr>
          </w:pPr>
          <w:r>
            <w:rPr>
              <w:sz w:val="24"/>
              <w:szCs w:val="24"/>
            </w:rPr>
            <w:fldChar w:fldCharType="begin"/>
          </w:r>
          <w:r>
            <w:rPr>
              <w:sz w:val="24"/>
              <w:szCs w:val="24"/>
            </w:rPr>
            <w:instrText xml:space="preserve"> HYPERLINK \l _Toc1958202550 </w:instrText>
          </w:r>
          <w:r>
            <w:rPr>
              <w:sz w:val="24"/>
              <w:szCs w:val="24"/>
            </w:rPr>
            <w:fldChar w:fldCharType="separate"/>
          </w:r>
          <w:r>
            <w:rPr>
              <w:rFonts w:hint="eastAsia" w:ascii="方正黑体_GBK" w:hAnsi="方正黑体_GBK" w:eastAsia="方正黑体_GBK" w:cs="方正黑体_GBK"/>
              <w:sz w:val="24"/>
              <w:szCs w:val="24"/>
            </w:rPr>
            <w:t>四、财政拨款收入支出决算总体情况说明</w:t>
          </w:r>
          <w:r>
            <w:rPr>
              <w:sz w:val="24"/>
              <w:szCs w:val="24"/>
            </w:rPr>
            <w:tab/>
          </w:r>
          <w:r>
            <w:rPr>
              <w:sz w:val="24"/>
              <w:szCs w:val="24"/>
            </w:rPr>
            <w:fldChar w:fldCharType="begin"/>
          </w:r>
          <w:r>
            <w:rPr>
              <w:sz w:val="24"/>
              <w:szCs w:val="24"/>
            </w:rPr>
            <w:instrText xml:space="preserve"> PAGEREF _Toc1958202550 </w:instrText>
          </w:r>
          <w:r>
            <w:rPr>
              <w:sz w:val="24"/>
              <w:szCs w:val="24"/>
            </w:rPr>
            <w:fldChar w:fldCharType="separate"/>
          </w:r>
          <w:r>
            <w:rPr>
              <w:sz w:val="24"/>
              <w:szCs w:val="24"/>
            </w:rPr>
            <w:t>4</w:t>
          </w:r>
          <w:r>
            <w:rPr>
              <w:sz w:val="24"/>
              <w:szCs w:val="24"/>
            </w:rPr>
            <w:fldChar w:fldCharType="end"/>
          </w:r>
          <w:r>
            <w:rPr>
              <w:sz w:val="24"/>
              <w:szCs w:val="24"/>
            </w:rPr>
            <w:fldChar w:fldCharType="end"/>
          </w:r>
        </w:p>
        <w:p w14:paraId="7F8AF9B6">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Chars="0"/>
            <w:textAlignment w:val="auto"/>
            <w:rPr>
              <w:sz w:val="24"/>
              <w:szCs w:val="24"/>
            </w:rPr>
          </w:pPr>
          <w:r>
            <w:rPr>
              <w:sz w:val="24"/>
              <w:szCs w:val="24"/>
            </w:rPr>
            <w:fldChar w:fldCharType="begin"/>
          </w:r>
          <w:r>
            <w:rPr>
              <w:sz w:val="24"/>
              <w:szCs w:val="24"/>
            </w:rPr>
            <w:instrText xml:space="preserve"> HYPERLINK \l _Toc1246159504 </w:instrText>
          </w:r>
          <w:r>
            <w:rPr>
              <w:sz w:val="24"/>
              <w:szCs w:val="24"/>
            </w:rPr>
            <w:fldChar w:fldCharType="separate"/>
          </w:r>
          <w:r>
            <w:rPr>
              <w:rFonts w:hint="eastAsia" w:ascii="方正黑体_GBK" w:hAnsi="方正黑体_GBK" w:eastAsia="方正黑体_GBK" w:cs="方正黑体_GBK"/>
              <w:sz w:val="24"/>
              <w:szCs w:val="24"/>
            </w:rPr>
            <w:t>五、一般公共预算财政拨款支出决算情况说明</w:t>
          </w:r>
          <w:r>
            <w:rPr>
              <w:sz w:val="24"/>
              <w:szCs w:val="24"/>
            </w:rPr>
            <w:tab/>
          </w:r>
          <w:r>
            <w:rPr>
              <w:sz w:val="24"/>
              <w:szCs w:val="24"/>
            </w:rPr>
            <w:fldChar w:fldCharType="begin"/>
          </w:r>
          <w:r>
            <w:rPr>
              <w:sz w:val="24"/>
              <w:szCs w:val="24"/>
            </w:rPr>
            <w:instrText xml:space="preserve"> PAGEREF _Toc1246159504 </w:instrText>
          </w:r>
          <w:r>
            <w:rPr>
              <w:sz w:val="24"/>
              <w:szCs w:val="24"/>
            </w:rPr>
            <w:fldChar w:fldCharType="separate"/>
          </w:r>
          <w:r>
            <w:rPr>
              <w:sz w:val="24"/>
              <w:szCs w:val="24"/>
            </w:rPr>
            <w:t>5</w:t>
          </w:r>
          <w:r>
            <w:rPr>
              <w:sz w:val="24"/>
              <w:szCs w:val="24"/>
            </w:rPr>
            <w:fldChar w:fldCharType="end"/>
          </w:r>
          <w:r>
            <w:rPr>
              <w:sz w:val="24"/>
              <w:szCs w:val="24"/>
            </w:rPr>
            <w:fldChar w:fldCharType="end"/>
          </w:r>
        </w:p>
        <w:p w14:paraId="3B824688">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Chars="0"/>
            <w:textAlignment w:val="auto"/>
            <w:rPr>
              <w:sz w:val="24"/>
              <w:szCs w:val="24"/>
            </w:rPr>
          </w:pPr>
          <w:r>
            <w:rPr>
              <w:sz w:val="24"/>
              <w:szCs w:val="24"/>
            </w:rPr>
            <w:fldChar w:fldCharType="begin"/>
          </w:r>
          <w:r>
            <w:rPr>
              <w:sz w:val="24"/>
              <w:szCs w:val="24"/>
            </w:rPr>
            <w:instrText xml:space="preserve"> HYPERLINK \l _Toc1323442469 </w:instrText>
          </w:r>
          <w:r>
            <w:rPr>
              <w:sz w:val="24"/>
              <w:szCs w:val="24"/>
            </w:rPr>
            <w:fldChar w:fldCharType="separate"/>
          </w:r>
          <w:r>
            <w:rPr>
              <w:rFonts w:hint="eastAsia" w:ascii="方正黑体_GBK" w:hAnsi="方正黑体_GBK" w:eastAsia="方正黑体_GBK" w:cs="方正黑体_GBK"/>
              <w:sz w:val="24"/>
              <w:szCs w:val="24"/>
            </w:rPr>
            <w:t>六、一般公共预算财政拨款基本支出决算情况说明</w:t>
          </w:r>
          <w:r>
            <w:rPr>
              <w:sz w:val="24"/>
              <w:szCs w:val="24"/>
            </w:rPr>
            <w:tab/>
          </w:r>
          <w:r>
            <w:rPr>
              <w:sz w:val="24"/>
              <w:szCs w:val="24"/>
            </w:rPr>
            <w:fldChar w:fldCharType="begin"/>
          </w:r>
          <w:r>
            <w:rPr>
              <w:sz w:val="24"/>
              <w:szCs w:val="24"/>
            </w:rPr>
            <w:instrText xml:space="preserve"> PAGEREF _Toc1323442469 </w:instrText>
          </w:r>
          <w:r>
            <w:rPr>
              <w:sz w:val="24"/>
              <w:szCs w:val="24"/>
            </w:rPr>
            <w:fldChar w:fldCharType="separate"/>
          </w:r>
          <w:r>
            <w:rPr>
              <w:sz w:val="24"/>
              <w:szCs w:val="24"/>
            </w:rPr>
            <w:t>7</w:t>
          </w:r>
          <w:r>
            <w:rPr>
              <w:sz w:val="24"/>
              <w:szCs w:val="24"/>
            </w:rPr>
            <w:fldChar w:fldCharType="end"/>
          </w:r>
          <w:r>
            <w:rPr>
              <w:sz w:val="24"/>
              <w:szCs w:val="24"/>
            </w:rPr>
            <w:fldChar w:fldCharType="end"/>
          </w:r>
        </w:p>
        <w:p w14:paraId="37FC28F1">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Chars="0"/>
            <w:textAlignment w:val="auto"/>
            <w:rPr>
              <w:sz w:val="24"/>
              <w:szCs w:val="24"/>
            </w:rPr>
          </w:pPr>
          <w:r>
            <w:rPr>
              <w:sz w:val="24"/>
              <w:szCs w:val="24"/>
            </w:rPr>
            <w:fldChar w:fldCharType="begin"/>
          </w:r>
          <w:r>
            <w:rPr>
              <w:sz w:val="24"/>
              <w:szCs w:val="24"/>
            </w:rPr>
            <w:instrText xml:space="preserve"> HYPERLINK \l _Toc130113101 </w:instrText>
          </w:r>
          <w:r>
            <w:rPr>
              <w:sz w:val="24"/>
              <w:szCs w:val="24"/>
            </w:rPr>
            <w:fldChar w:fldCharType="separate"/>
          </w:r>
          <w:r>
            <w:rPr>
              <w:rFonts w:hint="eastAsia" w:ascii="方正黑体_GBK" w:hAnsi="方正黑体_GBK" w:eastAsia="方正黑体_GBK" w:cs="方正黑体_GBK"/>
              <w:bCs/>
              <w:sz w:val="24"/>
              <w:szCs w:val="24"/>
            </w:rPr>
            <w:t>七、 “三公”经费财政拨款支出决算情况说明</w:t>
          </w:r>
          <w:r>
            <w:rPr>
              <w:sz w:val="24"/>
              <w:szCs w:val="24"/>
            </w:rPr>
            <w:tab/>
          </w:r>
          <w:r>
            <w:rPr>
              <w:rFonts w:hint="eastAsia"/>
              <w:sz w:val="24"/>
              <w:szCs w:val="24"/>
              <w:lang w:val="en-US" w:eastAsia="zh-CN"/>
            </w:rPr>
            <w:t>7</w:t>
          </w:r>
          <w:r>
            <w:rPr>
              <w:sz w:val="24"/>
              <w:szCs w:val="24"/>
            </w:rPr>
            <w:fldChar w:fldCharType="end"/>
          </w:r>
        </w:p>
        <w:p w14:paraId="66A6C585">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Chars="0"/>
            <w:textAlignment w:val="auto"/>
            <w:rPr>
              <w:sz w:val="24"/>
              <w:szCs w:val="24"/>
            </w:rPr>
          </w:pPr>
          <w:r>
            <w:rPr>
              <w:sz w:val="24"/>
              <w:szCs w:val="24"/>
            </w:rPr>
            <w:fldChar w:fldCharType="begin"/>
          </w:r>
          <w:r>
            <w:rPr>
              <w:sz w:val="24"/>
              <w:szCs w:val="24"/>
            </w:rPr>
            <w:instrText xml:space="preserve"> HYPERLINK \l _Toc688446888 </w:instrText>
          </w:r>
          <w:r>
            <w:rPr>
              <w:sz w:val="24"/>
              <w:szCs w:val="24"/>
            </w:rPr>
            <w:fldChar w:fldCharType="separate"/>
          </w:r>
          <w:r>
            <w:rPr>
              <w:rFonts w:hint="eastAsia" w:ascii="方正黑体_GBK" w:hAnsi="方正黑体_GBK" w:eastAsia="方正黑体_GBK" w:cs="方正黑体_GBK"/>
              <w:bCs/>
              <w:sz w:val="24"/>
              <w:szCs w:val="24"/>
              <w:lang w:eastAsia="zh-CN"/>
            </w:rPr>
            <w:t>八</w:t>
          </w:r>
          <w:r>
            <w:rPr>
              <w:rFonts w:hint="eastAsia" w:ascii="方正黑体_GBK" w:hAnsi="方正黑体_GBK" w:eastAsia="方正黑体_GBK" w:cs="方正黑体_GBK"/>
              <w:bCs/>
              <w:sz w:val="24"/>
              <w:szCs w:val="24"/>
            </w:rPr>
            <w:t>、</w:t>
          </w:r>
          <w:r>
            <w:rPr>
              <w:rFonts w:hint="eastAsia" w:ascii="方正黑体_GBK" w:hAnsi="方正黑体_GBK" w:eastAsia="方正黑体_GBK" w:cs="方正黑体_GBK"/>
              <w:sz w:val="24"/>
              <w:szCs w:val="24"/>
            </w:rPr>
            <w:t>政府性基金预算支出决算情况说明</w:t>
          </w:r>
          <w:r>
            <w:rPr>
              <w:sz w:val="24"/>
              <w:szCs w:val="24"/>
            </w:rPr>
            <w:tab/>
          </w:r>
          <w:r>
            <w:rPr>
              <w:sz w:val="24"/>
              <w:szCs w:val="24"/>
            </w:rPr>
            <w:fldChar w:fldCharType="begin"/>
          </w:r>
          <w:r>
            <w:rPr>
              <w:sz w:val="24"/>
              <w:szCs w:val="24"/>
            </w:rPr>
            <w:instrText xml:space="preserve"> PAGEREF _Toc688446888 </w:instrText>
          </w:r>
          <w:r>
            <w:rPr>
              <w:sz w:val="24"/>
              <w:szCs w:val="24"/>
            </w:rPr>
            <w:fldChar w:fldCharType="separate"/>
          </w:r>
          <w:r>
            <w:rPr>
              <w:sz w:val="24"/>
              <w:szCs w:val="24"/>
            </w:rPr>
            <w:t>7</w:t>
          </w:r>
          <w:r>
            <w:rPr>
              <w:sz w:val="24"/>
              <w:szCs w:val="24"/>
            </w:rPr>
            <w:fldChar w:fldCharType="end"/>
          </w:r>
          <w:r>
            <w:rPr>
              <w:sz w:val="24"/>
              <w:szCs w:val="24"/>
            </w:rPr>
            <w:fldChar w:fldCharType="end"/>
          </w:r>
        </w:p>
        <w:p w14:paraId="72D5849A">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Chars="0"/>
            <w:textAlignment w:val="auto"/>
            <w:rPr>
              <w:sz w:val="24"/>
              <w:szCs w:val="24"/>
            </w:rPr>
          </w:pPr>
          <w:r>
            <w:rPr>
              <w:sz w:val="24"/>
              <w:szCs w:val="24"/>
            </w:rPr>
            <w:fldChar w:fldCharType="begin"/>
          </w:r>
          <w:r>
            <w:rPr>
              <w:sz w:val="24"/>
              <w:szCs w:val="24"/>
            </w:rPr>
            <w:instrText xml:space="preserve"> HYPERLINK \l _Toc464549180 </w:instrText>
          </w:r>
          <w:r>
            <w:rPr>
              <w:sz w:val="24"/>
              <w:szCs w:val="24"/>
            </w:rPr>
            <w:fldChar w:fldCharType="separate"/>
          </w:r>
          <w:r>
            <w:rPr>
              <w:rFonts w:hint="eastAsia" w:ascii="方正黑体_GBK" w:hAnsi="方正黑体_GBK" w:eastAsia="方正黑体_GBK" w:cs="方正黑体_GBK"/>
              <w:sz w:val="24"/>
              <w:szCs w:val="24"/>
              <w:lang w:eastAsia="zh-CN"/>
            </w:rPr>
            <w:t>九</w:t>
          </w:r>
          <w:r>
            <w:rPr>
              <w:rFonts w:hint="eastAsia" w:ascii="方正黑体_GBK" w:hAnsi="方正黑体_GBK" w:eastAsia="方正黑体_GBK" w:cs="方正黑体_GBK"/>
              <w:sz w:val="24"/>
              <w:szCs w:val="24"/>
            </w:rPr>
            <w:t>、</w:t>
          </w:r>
          <w:r>
            <w:rPr>
              <w:rFonts w:hint="eastAsia" w:ascii="方正黑体_GBK" w:hAnsi="方正黑体_GBK" w:eastAsia="方正黑体_GBK" w:cs="方正黑体_GBK"/>
              <w:sz w:val="24"/>
              <w:szCs w:val="24"/>
              <w:lang w:eastAsia="zh-CN"/>
            </w:rPr>
            <w:t>国有资本经营预算支出决算情况说明</w:t>
          </w:r>
          <w:r>
            <w:rPr>
              <w:sz w:val="24"/>
              <w:szCs w:val="24"/>
            </w:rPr>
            <w:tab/>
          </w:r>
          <w:r>
            <w:rPr>
              <w:sz w:val="24"/>
              <w:szCs w:val="24"/>
            </w:rPr>
            <w:fldChar w:fldCharType="begin"/>
          </w:r>
          <w:r>
            <w:rPr>
              <w:sz w:val="24"/>
              <w:szCs w:val="24"/>
            </w:rPr>
            <w:instrText xml:space="preserve"> PAGEREF _Toc464549180 </w:instrText>
          </w:r>
          <w:r>
            <w:rPr>
              <w:sz w:val="24"/>
              <w:szCs w:val="24"/>
            </w:rPr>
            <w:fldChar w:fldCharType="separate"/>
          </w:r>
          <w:r>
            <w:rPr>
              <w:sz w:val="24"/>
              <w:szCs w:val="24"/>
            </w:rPr>
            <w:t>9</w:t>
          </w:r>
          <w:r>
            <w:rPr>
              <w:sz w:val="24"/>
              <w:szCs w:val="24"/>
            </w:rPr>
            <w:fldChar w:fldCharType="end"/>
          </w:r>
          <w:r>
            <w:rPr>
              <w:sz w:val="24"/>
              <w:szCs w:val="24"/>
            </w:rPr>
            <w:fldChar w:fldCharType="end"/>
          </w:r>
        </w:p>
        <w:p w14:paraId="35C9790A">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Chars="0"/>
            <w:textAlignment w:val="auto"/>
            <w:rPr>
              <w:sz w:val="24"/>
              <w:szCs w:val="24"/>
            </w:rPr>
          </w:pPr>
          <w:r>
            <w:rPr>
              <w:sz w:val="24"/>
              <w:szCs w:val="24"/>
            </w:rPr>
            <w:fldChar w:fldCharType="begin"/>
          </w:r>
          <w:r>
            <w:rPr>
              <w:sz w:val="24"/>
              <w:szCs w:val="24"/>
            </w:rPr>
            <w:instrText xml:space="preserve"> HYPERLINK \l _Toc1957948677 </w:instrText>
          </w:r>
          <w:r>
            <w:rPr>
              <w:sz w:val="24"/>
              <w:szCs w:val="24"/>
            </w:rPr>
            <w:fldChar w:fldCharType="separate"/>
          </w:r>
          <w:r>
            <w:rPr>
              <w:rFonts w:hint="eastAsia" w:ascii="方正黑体_GBK" w:hAnsi="方正黑体_GBK" w:eastAsia="方正黑体_GBK" w:cs="方正黑体_GBK"/>
              <w:sz w:val="24"/>
              <w:szCs w:val="24"/>
              <w:lang w:eastAsia="zh-CN"/>
            </w:rPr>
            <w:t>十、其他重要事项的情况说明</w:t>
          </w:r>
          <w:r>
            <w:rPr>
              <w:sz w:val="24"/>
              <w:szCs w:val="24"/>
            </w:rPr>
            <w:tab/>
          </w:r>
          <w:r>
            <w:rPr>
              <w:sz w:val="24"/>
              <w:szCs w:val="24"/>
            </w:rPr>
            <w:fldChar w:fldCharType="begin"/>
          </w:r>
          <w:r>
            <w:rPr>
              <w:sz w:val="24"/>
              <w:szCs w:val="24"/>
            </w:rPr>
            <w:instrText xml:space="preserve"> PAGEREF _Toc1957948677 </w:instrText>
          </w:r>
          <w:r>
            <w:rPr>
              <w:sz w:val="24"/>
              <w:szCs w:val="24"/>
            </w:rPr>
            <w:fldChar w:fldCharType="separate"/>
          </w:r>
          <w:r>
            <w:rPr>
              <w:sz w:val="24"/>
              <w:szCs w:val="24"/>
            </w:rPr>
            <w:t>9</w:t>
          </w:r>
          <w:r>
            <w:rPr>
              <w:sz w:val="24"/>
              <w:szCs w:val="24"/>
            </w:rPr>
            <w:fldChar w:fldCharType="end"/>
          </w:r>
          <w:r>
            <w:rPr>
              <w:sz w:val="24"/>
              <w:szCs w:val="24"/>
            </w:rPr>
            <w:fldChar w:fldCharType="end"/>
          </w:r>
        </w:p>
        <w:p w14:paraId="1C08E6D6">
          <w:pPr>
            <w:pStyle w:val="15"/>
            <w:keepNext w:val="0"/>
            <w:keepLines w:val="0"/>
            <w:pageBreakBefore w:val="0"/>
            <w:widowControl w:val="0"/>
            <w:tabs>
              <w:tab w:val="right" w:leader="dot" w:pos="8844"/>
              <w:tab w:val="clear" w:pos="8296"/>
            </w:tabs>
            <w:kinsoku/>
            <w:wordWrap/>
            <w:overflowPunct/>
            <w:topLinePunct w:val="0"/>
            <w:autoSpaceDE/>
            <w:autoSpaceDN/>
            <w:bidi w:val="0"/>
            <w:adjustRightInd/>
            <w:snapToGrid/>
            <w:spacing w:before="0" w:line="480" w:lineRule="auto"/>
            <w:ind w:leftChars="0"/>
            <w:textAlignment w:val="auto"/>
            <w:rPr>
              <w:rFonts w:hint="eastAsia" w:ascii="方正黑体_GBK" w:hAnsi="方正黑体_GBK" w:eastAsia="方正黑体_GBK" w:cs="方正黑体_GBK"/>
              <w:kern w:val="2"/>
              <w:sz w:val="24"/>
              <w:szCs w:val="24"/>
              <w:lang w:val="en-US" w:eastAsia="zh-CN" w:bidi="ar-SA"/>
            </w:rPr>
          </w:pPr>
          <w:r>
            <w:rPr>
              <w:rFonts w:hint="eastAsia" w:ascii="方正黑体_GBK" w:hAnsi="方正黑体_GBK" w:eastAsia="方正黑体_GBK" w:cs="方正黑体_GBK"/>
              <w:kern w:val="2"/>
              <w:sz w:val="24"/>
              <w:szCs w:val="24"/>
              <w:lang w:val="en-US" w:eastAsia="zh-CN" w:bidi="ar-SA"/>
            </w:rPr>
            <w:fldChar w:fldCharType="begin"/>
          </w:r>
          <w:r>
            <w:rPr>
              <w:rFonts w:hint="eastAsia" w:ascii="方正黑体_GBK" w:hAnsi="方正黑体_GBK" w:eastAsia="方正黑体_GBK" w:cs="方正黑体_GBK"/>
              <w:kern w:val="2"/>
              <w:sz w:val="24"/>
              <w:szCs w:val="24"/>
              <w:lang w:val="en-US" w:eastAsia="zh-CN" w:bidi="ar-SA"/>
            </w:rPr>
            <w:instrText xml:space="preserve"> HYPERLINK \l _Toc366971393 </w:instrText>
          </w:r>
          <w:r>
            <w:rPr>
              <w:rFonts w:hint="eastAsia" w:ascii="方正黑体_GBK" w:hAnsi="方正黑体_GBK" w:eastAsia="方正黑体_GBK" w:cs="方正黑体_GBK"/>
              <w:kern w:val="2"/>
              <w:sz w:val="24"/>
              <w:szCs w:val="24"/>
              <w:lang w:val="en-US" w:eastAsia="zh-CN" w:bidi="ar-SA"/>
            </w:rPr>
            <w:fldChar w:fldCharType="separate"/>
          </w:r>
          <w:r>
            <w:rPr>
              <w:rFonts w:hint="eastAsia" w:ascii="方正黑体_GBK" w:hAnsi="方正黑体_GBK" w:eastAsia="方正黑体_GBK" w:cs="方正黑体_GBK"/>
              <w:kern w:val="2"/>
              <w:sz w:val="24"/>
              <w:szCs w:val="24"/>
              <w:lang w:val="en-US" w:eastAsia="zh-CN" w:bidi="ar-SA"/>
            </w:rPr>
            <w:t>第三部分 名词解释</w:t>
          </w:r>
          <w:r>
            <w:rPr>
              <w:rFonts w:hint="eastAsia" w:ascii="方正黑体_GBK" w:hAnsi="方正黑体_GBK" w:eastAsia="方正黑体_GBK" w:cs="方正黑体_GBK"/>
              <w:kern w:val="2"/>
              <w:sz w:val="24"/>
              <w:szCs w:val="24"/>
              <w:lang w:val="en-US" w:eastAsia="zh-CN" w:bidi="ar-SA"/>
            </w:rPr>
            <w:tab/>
          </w:r>
          <w:r>
            <w:rPr>
              <w:rFonts w:hint="eastAsia" w:ascii="方正黑体_GBK" w:hAnsi="方正黑体_GBK" w:eastAsia="方正黑体_GBK" w:cs="方正黑体_GBK"/>
              <w:kern w:val="2"/>
              <w:sz w:val="24"/>
              <w:szCs w:val="24"/>
              <w:lang w:val="en-US" w:eastAsia="zh-CN" w:bidi="ar-SA"/>
            </w:rPr>
            <w:fldChar w:fldCharType="begin"/>
          </w:r>
          <w:r>
            <w:rPr>
              <w:rFonts w:hint="eastAsia" w:ascii="方正黑体_GBK" w:hAnsi="方正黑体_GBK" w:eastAsia="方正黑体_GBK" w:cs="方正黑体_GBK"/>
              <w:kern w:val="2"/>
              <w:sz w:val="24"/>
              <w:szCs w:val="24"/>
              <w:lang w:val="en-US" w:eastAsia="zh-CN" w:bidi="ar-SA"/>
            </w:rPr>
            <w:instrText xml:space="preserve"> PAGEREF _Toc366971393 </w:instrText>
          </w:r>
          <w:r>
            <w:rPr>
              <w:rFonts w:hint="eastAsia" w:ascii="方正黑体_GBK" w:hAnsi="方正黑体_GBK" w:eastAsia="方正黑体_GBK" w:cs="方正黑体_GBK"/>
              <w:kern w:val="2"/>
              <w:sz w:val="24"/>
              <w:szCs w:val="24"/>
              <w:lang w:val="en-US" w:eastAsia="zh-CN" w:bidi="ar-SA"/>
            </w:rPr>
            <w:fldChar w:fldCharType="separate"/>
          </w:r>
          <w:r>
            <w:rPr>
              <w:rFonts w:hint="eastAsia" w:ascii="方正黑体_GBK" w:hAnsi="方正黑体_GBK" w:eastAsia="方正黑体_GBK" w:cs="方正黑体_GBK"/>
              <w:kern w:val="2"/>
              <w:sz w:val="24"/>
              <w:szCs w:val="24"/>
              <w:lang w:val="en-US" w:eastAsia="zh-CN" w:bidi="ar-SA"/>
            </w:rPr>
            <w:t>11</w:t>
          </w:r>
          <w:r>
            <w:rPr>
              <w:rFonts w:hint="eastAsia" w:ascii="方正黑体_GBK" w:hAnsi="方正黑体_GBK" w:eastAsia="方正黑体_GBK" w:cs="方正黑体_GBK"/>
              <w:kern w:val="2"/>
              <w:sz w:val="24"/>
              <w:szCs w:val="24"/>
              <w:lang w:val="en-US" w:eastAsia="zh-CN" w:bidi="ar-SA"/>
            </w:rPr>
            <w:fldChar w:fldCharType="end"/>
          </w:r>
          <w:r>
            <w:rPr>
              <w:rFonts w:hint="eastAsia" w:ascii="方正黑体_GBK" w:hAnsi="方正黑体_GBK" w:eastAsia="方正黑体_GBK" w:cs="方正黑体_GBK"/>
              <w:kern w:val="2"/>
              <w:sz w:val="24"/>
              <w:szCs w:val="24"/>
              <w:lang w:val="en-US" w:eastAsia="zh-CN" w:bidi="ar-SA"/>
            </w:rPr>
            <w:fldChar w:fldCharType="end"/>
          </w:r>
        </w:p>
        <w:p w14:paraId="3E1F57F9">
          <w:pPr>
            <w:pStyle w:val="15"/>
            <w:keepNext w:val="0"/>
            <w:keepLines w:val="0"/>
            <w:pageBreakBefore w:val="0"/>
            <w:widowControl w:val="0"/>
            <w:tabs>
              <w:tab w:val="right" w:leader="dot" w:pos="8844"/>
              <w:tab w:val="clear" w:pos="8296"/>
            </w:tabs>
            <w:kinsoku/>
            <w:wordWrap/>
            <w:overflowPunct/>
            <w:topLinePunct w:val="0"/>
            <w:autoSpaceDE/>
            <w:autoSpaceDN/>
            <w:bidi w:val="0"/>
            <w:adjustRightInd/>
            <w:snapToGrid/>
            <w:spacing w:before="0" w:line="480" w:lineRule="auto"/>
            <w:ind w:leftChars="0"/>
            <w:textAlignment w:val="auto"/>
            <w:rPr>
              <w:sz w:val="24"/>
              <w:szCs w:val="24"/>
            </w:rPr>
          </w:pPr>
          <w:r>
            <w:rPr>
              <w:rFonts w:hint="eastAsia" w:ascii="方正黑体_GBK" w:hAnsi="方正黑体_GBK" w:eastAsia="方正黑体_GBK" w:cs="方正黑体_GBK"/>
              <w:kern w:val="2"/>
              <w:sz w:val="24"/>
              <w:szCs w:val="24"/>
              <w:lang w:val="en-US" w:eastAsia="zh-CN" w:bidi="ar-SA"/>
            </w:rPr>
            <w:fldChar w:fldCharType="begin"/>
          </w:r>
          <w:r>
            <w:rPr>
              <w:rFonts w:hint="eastAsia" w:ascii="方正黑体_GBK" w:hAnsi="方正黑体_GBK" w:eastAsia="方正黑体_GBK" w:cs="方正黑体_GBK"/>
              <w:kern w:val="2"/>
              <w:sz w:val="24"/>
              <w:szCs w:val="24"/>
              <w:lang w:val="en-US" w:eastAsia="zh-CN" w:bidi="ar-SA"/>
            </w:rPr>
            <w:instrText xml:space="preserve"> HYPERLINK \l _Toc714564728 </w:instrText>
          </w:r>
          <w:r>
            <w:rPr>
              <w:rFonts w:hint="eastAsia" w:ascii="方正黑体_GBK" w:hAnsi="方正黑体_GBK" w:eastAsia="方正黑体_GBK" w:cs="方正黑体_GBK"/>
              <w:kern w:val="2"/>
              <w:sz w:val="24"/>
              <w:szCs w:val="24"/>
              <w:lang w:val="en-US" w:eastAsia="zh-CN" w:bidi="ar-SA"/>
            </w:rPr>
            <w:fldChar w:fldCharType="separate"/>
          </w:r>
          <w:r>
            <w:rPr>
              <w:rFonts w:hint="default" w:ascii="方正黑体_GBK" w:hAnsi="方正黑体_GBK" w:eastAsia="方正黑体_GBK" w:cs="方正黑体_GBK"/>
              <w:kern w:val="2"/>
              <w:sz w:val="24"/>
              <w:szCs w:val="24"/>
              <w:lang w:val="en-US" w:eastAsia="zh-CN" w:bidi="ar-SA"/>
            </w:rPr>
            <w:t>第四部分 附件</w:t>
          </w:r>
          <w:r>
            <w:rPr>
              <w:rFonts w:hint="eastAsia" w:ascii="方正黑体_GBK" w:hAnsi="方正黑体_GBK" w:eastAsia="方正黑体_GBK" w:cs="方正黑体_GBK"/>
              <w:kern w:val="2"/>
              <w:sz w:val="24"/>
              <w:szCs w:val="24"/>
              <w:lang w:val="en-US" w:eastAsia="zh-CN" w:bidi="ar-SA"/>
            </w:rPr>
            <w:tab/>
          </w:r>
          <w:r>
            <w:rPr>
              <w:rFonts w:hint="eastAsia" w:ascii="方正黑体_GBK" w:hAnsi="方正黑体_GBK" w:eastAsia="方正黑体_GBK" w:cs="方正黑体_GBK"/>
              <w:kern w:val="2"/>
              <w:sz w:val="24"/>
              <w:szCs w:val="24"/>
              <w:lang w:val="en-US" w:eastAsia="zh-CN" w:bidi="ar-SA"/>
            </w:rPr>
            <w:fldChar w:fldCharType="begin"/>
          </w:r>
          <w:r>
            <w:rPr>
              <w:rFonts w:hint="eastAsia" w:ascii="方正黑体_GBK" w:hAnsi="方正黑体_GBK" w:eastAsia="方正黑体_GBK" w:cs="方正黑体_GBK"/>
              <w:kern w:val="2"/>
              <w:sz w:val="24"/>
              <w:szCs w:val="24"/>
              <w:lang w:val="en-US" w:eastAsia="zh-CN" w:bidi="ar-SA"/>
            </w:rPr>
            <w:instrText xml:space="preserve"> PAGEREF _Toc714564728 </w:instrText>
          </w:r>
          <w:r>
            <w:rPr>
              <w:rFonts w:hint="eastAsia" w:ascii="方正黑体_GBK" w:hAnsi="方正黑体_GBK" w:eastAsia="方正黑体_GBK" w:cs="方正黑体_GBK"/>
              <w:kern w:val="2"/>
              <w:sz w:val="24"/>
              <w:szCs w:val="24"/>
              <w:lang w:val="en-US" w:eastAsia="zh-CN" w:bidi="ar-SA"/>
            </w:rPr>
            <w:fldChar w:fldCharType="separate"/>
          </w:r>
          <w:r>
            <w:rPr>
              <w:rFonts w:hint="eastAsia" w:ascii="方正黑体_GBK" w:hAnsi="方正黑体_GBK" w:eastAsia="方正黑体_GBK" w:cs="方正黑体_GBK"/>
              <w:kern w:val="2"/>
              <w:sz w:val="24"/>
              <w:szCs w:val="24"/>
              <w:lang w:val="en-US" w:eastAsia="zh-CN" w:bidi="ar-SA"/>
            </w:rPr>
            <w:t>13</w:t>
          </w:r>
          <w:r>
            <w:rPr>
              <w:rFonts w:hint="eastAsia" w:ascii="方正黑体_GBK" w:hAnsi="方正黑体_GBK" w:eastAsia="方正黑体_GBK" w:cs="方正黑体_GBK"/>
              <w:kern w:val="2"/>
              <w:sz w:val="24"/>
              <w:szCs w:val="24"/>
              <w:lang w:val="en-US" w:eastAsia="zh-CN" w:bidi="ar-SA"/>
            </w:rPr>
            <w:fldChar w:fldCharType="end"/>
          </w:r>
          <w:r>
            <w:rPr>
              <w:rFonts w:hint="eastAsia" w:ascii="方正黑体_GBK" w:hAnsi="方正黑体_GBK" w:eastAsia="方正黑体_GBK" w:cs="方正黑体_GBK"/>
              <w:kern w:val="2"/>
              <w:sz w:val="24"/>
              <w:szCs w:val="24"/>
              <w:lang w:val="en-US" w:eastAsia="zh-CN" w:bidi="ar-SA"/>
            </w:rPr>
            <w:fldChar w:fldCharType="end"/>
          </w:r>
        </w:p>
        <w:p w14:paraId="54D85F60">
          <w:pPr>
            <w:pStyle w:val="15"/>
            <w:keepNext w:val="0"/>
            <w:keepLines w:val="0"/>
            <w:pageBreakBefore w:val="0"/>
            <w:widowControl w:val="0"/>
            <w:tabs>
              <w:tab w:val="right" w:leader="dot" w:pos="8844"/>
              <w:tab w:val="clear" w:pos="8296"/>
            </w:tabs>
            <w:kinsoku/>
            <w:wordWrap/>
            <w:overflowPunct/>
            <w:topLinePunct w:val="0"/>
            <w:autoSpaceDE/>
            <w:autoSpaceDN/>
            <w:bidi w:val="0"/>
            <w:adjustRightInd/>
            <w:snapToGrid/>
            <w:spacing w:before="0" w:line="480" w:lineRule="auto"/>
            <w:ind w:leftChars="0"/>
            <w:textAlignment w:val="auto"/>
            <w:rPr>
              <w:sz w:val="24"/>
              <w:szCs w:val="24"/>
            </w:rPr>
          </w:pPr>
          <w:r>
            <w:rPr>
              <w:rFonts w:hint="eastAsia" w:ascii="方正黑体_GBK" w:hAnsi="方正黑体_GBK" w:eastAsia="方正黑体_GBK" w:cs="方正黑体_GBK"/>
              <w:kern w:val="2"/>
              <w:sz w:val="24"/>
              <w:szCs w:val="24"/>
              <w:lang w:val="en-US" w:eastAsia="zh-CN" w:bidi="ar-SA"/>
            </w:rPr>
            <w:fldChar w:fldCharType="begin"/>
          </w:r>
          <w:r>
            <w:rPr>
              <w:rFonts w:hint="eastAsia" w:ascii="方正黑体_GBK" w:hAnsi="方正黑体_GBK" w:eastAsia="方正黑体_GBK" w:cs="方正黑体_GBK"/>
              <w:kern w:val="2"/>
              <w:sz w:val="24"/>
              <w:szCs w:val="24"/>
              <w:lang w:val="en-US" w:eastAsia="zh-CN" w:bidi="ar-SA"/>
            </w:rPr>
            <w:instrText xml:space="preserve"> HYPERLINK \l _Toc1929940136 </w:instrText>
          </w:r>
          <w:r>
            <w:rPr>
              <w:rFonts w:hint="eastAsia" w:ascii="方正黑体_GBK" w:hAnsi="方正黑体_GBK" w:eastAsia="方正黑体_GBK" w:cs="方正黑体_GBK"/>
              <w:kern w:val="2"/>
              <w:sz w:val="24"/>
              <w:szCs w:val="24"/>
              <w:lang w:val="en-US" w:eastAsia="zh-CN" w:bidi="ar-SA"/>
            </w:rPr>
            <w:fldChar w:fldCharType="separate"/>
          </w:r>
          <w:r>
            <w:rPr>
              <w:rFonts w:hint="eastAsia" w:ascii="方正黑体_GBK" w:hAnsi="方正黑体_GBK" w:eastAsia="方正黑体_GBK" w:cs="方正黑体_GBK"/>
              <w:kern w:val="2"/>
              <w:sz w:val="24"/>
              <w:szCs w:val="24"/>
              <w:lang w:val="en-US" w:eastAsia="zh-CN" w:bidi="ar-SA"/>
            </w:rPr>
            <w:t>第五部分 附表</w:t>
          </w:r>
          <w:r>
            <w:rPr>
              <w:rFonts w:hint="eastAsia" w:ascii="方正黑体_GBK" w:hAnsi="方正黑体_GBK" w:eastAsia="方正黑体_GBK" w:cs="方正黑体_GBK"/>
              <w:kern w:val="2"/>
              <w:sz w:val="24"/>
              <w:szCs w:val="24"/>
              <w:lang w:val="en-US" w:eastAsia="zh-CN" w:bidi="ar-SA"/>
            </w:rPr>
            <w:tab/>
          </w:r>
          <w:r>
            <w:rPr>
              <w:rFonts w:hint="eastAsia" w:ascii="方正黑体_GBK" w:hAnsi="方正黑体_GBK" w:eastAsia="方正黑体_GBK" w:cs="方正黑体_GBK"/>
              <w:kern w:val="2"/>
              <w:sz w:val="24"/>
              <w:szCs w:val="24"/>
              <w:lang w:val="en-US" w:eastAsia="zh-CN" w:bidi="ar-SA"/>
            </w:rPr>
            <w:fldChar w:fldCharType="begin"/>
          </w:r>
          <w:r>
            <w:rPr>
              <w:rFonts w:hint="eastAsia" w:ascii="方正黑体_GBK" w:hAnsi="方正黑体_GBK" w:eastAsia="方正黑体_GBK" w:cs="方正黑体_GBK"/>
              <w:kern w:val="2"/>
              <w:sz w:val="24"/>
              <w:szCs w:val="24"/>
              <w:lang w:val="en-US" w:eastAsia="zh-CN" w:bidi="ar-SA"/>
            </w:rPr>
            <w:instrText xml:space="preserve"> PAGEREF _Toc1929940136 </w:instrText>
          </w:r>
          <w:r>
            <w:rPr>
              <w:rFonts w:hint="eastAsia" w:ascii="方正黑体_GBK" w:hAnsi="方正黑体_GBK" w:eastAsia="方正黑体_GBK" w:cs="方正黑体_GBK"/>
              <w:kern w:val="2"/>
              <w:sz w:val="24"/>
              <w:szCs w:val="24"/>
              <w:lang w:val="en-US" w:eastAsia="zh-CN" w:bidi="ar-SA"/>
            </w:rPr>
            <w:fldChar w:fldCharType="separate"/>
          </w:r>
          <w:r>
            <w:rPr>
              <w:rFonts w:hint="eastAsia" w:ascii="方正黑体_GBK" w:hAnsi="方正黑体_GBK" w:eastAsia="方正黑体_GBK" w:cs="方正黑体_GBK"/>
              <w:kern w:val="2"/>
              <w:sz w:val="24"/>
              <w:szCs w:val="24"/>
              <w:lang w:val="en-US" w:eastAsia="zh-CN" w:bidi="ar-SA"/>
            </w:rPr>
            <w:t>15</w:t>
          </w:r>
          <w:r>
            <w:rPr>
              <w:rFonts w:hint="eastAsia" w:ascii="方正黑体_GBK" w:hAnsi="方正黑体_GBK" w:eastAsia="方正黑体_GBK" w:cs="方正黑体_GBK"/>
              <w:kern w:val="2"/>
              <w:sz w:val="24"/>
              <w:szCs w:val="24"/>
              <w:lang w:val="en-US" w:eastAsia="zh-CN" w:bidi="ar-SA"/>
            </w:rPr>
            <w:fldChar w:fldCharType="end"/>
          </w:r>
          <w:r>
            <w:rPr>
              <w:rFonts w:hint="eastAsia" w:ascii="方正黑体_GBK" w:hAnsi="方正黑体_GBK" w:eastAsia="方正黑体_GBK" w:cs="方正黑体_GBK"/>
              <w:kern w:val="2"/>
              <w:sz w:val="24"/>
              <w:szCs w:val="24"/>
              <w:lang w:val="en-US" w:eastAsia="zh-CN" w:bidi="ar-SA"/>
            </w:rPr>
            <w:fldChar w:fldCharType="end"/>
          </w:r>
        </w:p>
        <w:p w14:paraId="0A143311">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420"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_Toc1251119030 </w:instrText>
          </w:r>
          <w:r>
            <w:rPr>
              <w:rFonts w:hint="eastAsia" w:ascii="黑体" w:hAnsi="黑体" w:eastAsia="黑体" w:cs="黑体"/>
              <w:sz w:val="24"/>
              <w:szCs w:val="24"/>
            </w:rPr>
            <w:fldChar w:fldCharType="separate"/>
          </w:r>
          <w:r>
            <w:rPr>
              <w:rFonts w:hint="eastAsia" w:ascii="黑体" w:hAnsi="黑体" w:eastAsia="黑体" w:cs="黑体"/>
              <w:sz w:val="24"/>
              <w:szCs w:val="24"/>
            </w:rPr>
            <w:t>一、收入支出决算总表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_Toc1251119030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AAFBEE1">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420"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_Toc1801523077 </w:instrText>
          </w:r>
          <w:r>
            <w:rPr>
              <w:rFonts w:hint="eastAsia" w:ascii="黑体" w:hAnsi="黑体" w:eastAsia="黑体" w:cs="黑体"/>
              <w:sz w:val="24"/>
              <w:szCs w:val="24"/>
            </w:rPr>
            <w:fldChar w:fldCharType="separate"/>
          </w:r>
          <w:r>
            <w:rPr>
              <w:rFonts w:hint="eastAsia" w:ascii="黑体" w:hAnsi="黑体" w:eastAsia="黑体" w:cs="黑体"/>
              <w:sz w:val="24"/>
              <w:szCs w:val="24"/>
            </w:rPr>
            <w:t>二、收入决算表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_Toc1801523077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105AB3A">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420"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_Toc288362409 </w:instrText>
          </w:r>
          <w:r>
            <w:rPr>
              <w:rFonts w:hint="eastAsia" w:ascii="黑体" w:hAnsi="黑体" w:eastAsia="黑体" w:cs="黑体"/>
              <w:sz w:val="24"/>
              <w:szCs w:val="24"/>
            </w:rPr>
            <w:fldChar w:fldCharType="separate"/>
          </w:r>
          <w:r>
            <w:rPr>
              <w:rFonts w:hint="eastAsia" w:ascii="黑体" w:hAnsi="黑体" w:eastAsia="黑体" w:cs="黑体"/>
              <w:sz w:val="24"/>
              <w:szCs w:val="24"/>
            </w:rPr>
            <w:t>三、支出决算表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_Toc288362409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B4B9861">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420"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_Toc1308491825 </w:instrText>
          </w:r>
          <w:r>
            <w:rPr>
              <w:rFonts w:hint="eastAsia" w:ascii="黑体" w:hAnsi="黑体" w:eastAsia="黑体" w:cs="黑体"/>
              <w:sz w:val="24"/>
              <w:szCs w:val="24"/>
            </w:rPr>
            <w:fldChar w:fldCharType="separate"/>
          </w:r>
          <w:r>
            <w:rPr>
              <w:rFonts w:hint="eastAsia" w:ascii="黑体" w:hAnsi="黑体" w:eastAsia="黑体" w:cs="黑体"/>
              <w:sz w:val="24"/>
              <w:szCs w:val="24"/>
            </w:rPr>
            <w:t>四、财政拨款收入支出决算总表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_Toc1308491825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175D931">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420"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_Toc451874171 </w:instrText>
          </w:r>
          <w:r>
            <w:rPr>
              <w:rFonts w:hint="eastAsia" w:ascii="黑体" w:hAnsi="黑体" w:eastAsia="黑体" w:cs="黑体"/>
              <w:sz w:val="24"/>
              <w:szCs w:val="24"/>
            </w:rPr>
            <w:fldChar w:fldCharType="separate"/>
          </w:r>
          <w:r>
            <w:rPr>
              <w:rFonts w:hint="eastAsia" w:ascii="黑体" w:hAnsi="黑体" w:eastAsia="黑体" w:cs="黑体"/>
              <w:sz w:val="24"/>
              <w:szCs w:val="24"/>
            </w:rPr>
            <w:t>五、财政拨款支出决算明细表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_Toc451874171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DAA7B8D">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420"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_Toc1816992461 </w:instrText>
          </w:r>
          <w:r>
            <w:rPr>
              <w:rFonts w:hint="eastAsia" w:ascii="黑体" w:hAnsi="黑体" w:eastAsia="黑体" w:cs="黑体"/>
              <w:sz w:val="24"/>
              <w:szCs w:val="24"/>
            </w:rPr>
            <w:fldChar w:fldCharType="separate"/>
          </w:r>
          <w:r>
            <w:rPr>
              <w:rFonts w:hint="eastAsia" w:ascii="黑体" w:hAnsi="黑体" w:eastAsia="黑体" w:cs="黑体"/>
              <w:sz w:val="24"/>
              <w:szCs w:val="24"/>
            </w:rPr>
            <w:t>六、一般公共预算财政拨款支出决算表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_Toc1816992461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91533D0">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420"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_Toc1294952882 </w:instrText>
          </w:r>
          <w:r>
            <w:rPr>
              <w:rFonts w:hint="eastAsia" w:ascii="黑体" w:hAnsi="黑体" w:eastAsia="黑体" w:cs="黑体"/>
              <w:sz w:val="24"/>
              <w:szCs w:val="24"/>
            </w:rPr>
            <w:fldChar w:fldCharType="separate"/>
          </w:r>
          <w:r>
            <w:rPr>
              <w:rFonts w:hint="eastAsia" w:ascii="黑体" w:hAnsi="黑体" w:eastAsia="黑体" w:cs="黑体"/>
              <w:sz w:val="24"/>
              <w:szCs w:val="24"/>
            </w:rPr>
            <w:t>七、一般公共预算财政拨款支出决算明细表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_Toc1294952882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51C53FB">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420"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_Toc106828180 </w:instrText>
          </w:r>
          <w:r>
            <w:rPr>
              <w:rFonts w:hint="eastAsia" w:ascii="黑体" w:hAnsi="黑体" w:eastAsia="黑体" w:cs="黑体"/>
              <w:sz w:val="24"/>
              <w:szCs w:val="24"/>
            </w:rPr>
            <w:fldChar w:fldCharType="separate"/>
          </w:r>
          <w:r>
            <w:rPr>
              <w:rFonts w:hint="eastAsia" w:ascii="黑体" w:hAnsi="黑体" w:eastAsia="黑体" w:cs="黑体"/>
              <w:sz w:val="24"/>
              <w:szCs w:val="24"/>
            </w:rPr>
            <w:t>八、一般公共预算财政拨款基本支出决算表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_Toc106828180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F8F12A2">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420"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_Toc1008857766 </w:instrText>
          </w:r>
          <w:r>
            <w:rPr>
              <w:rFonts w:hint="eastAsia" w:ascii="黑体" w:hAnsi="黑体" w:eastAsia="黑体" w:cs="黑体"/>
              <w:sz w:val="24"/>
              <w:szCs w:val="24"/>
            </w:rPr>
            <w:fldChar w:fldCharType="separate"/>
          </w:r>
          <w:r>
            <w:rPr>
              <w:rFonts w:hint="eastAsia" w:ascii="黑体" w:hAnsi="黑体" w:eastAsia="黑体" w:cs="黑体"/>
              <w:sz w:val="24"/>
              <w:szCs w:val="24"/>
            </w:rPr>
            <w:t>九、一般公共预算财政拨款项目支出决算表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_Toc1008857766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EB068E0">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420"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_Toc380089796 </w:instrText>
          </w:r>
          <w:r>
            <w:rPr>
              <w:rFonts w:hint="eastAsia" w:ascii="黑体" w:hAnsi="黑体" w:eastAsia="黑体" w:cs="黑体"/>
              <w:sz w:val="24"/>
              <w:szCs w:val="24"/>
            </w:rPr>
            <w:fldChar w:fldCharType="separate"/>
          </w:r>
          <w:r>
            <w:rPr>
              <w:rFonts w:hint="eastAsia" w:ascii="黑体" w:hAnsi="黑体" w:eastAsia="黑体" w:cs="黑体"/>
              <w:sz w:val="24"/>
              <w:szCs w:val="24"/>
            </w:rPr>
            <w:t>十、政府性基金预算财政拨款收入支出决算表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_Toc380089796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2426F11">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420"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_Toc641895985 </w:instrText>
          </w:r>
          <w:r>
            <w:rPr>
              <w:rFonts w:hint="eastAsia" w:ascii="黑体" w:hAnsi="黑体" w:eastAsia="黑体" w:cs="黑体"/>
              <w:sz w:val="24"/>
              <w:szCs w:val="24"/>
            </w:rPr>
            <w:fldChar w:fldCharType="separate"/>
          </w:r>
          <w:r>
            <w:rPr>
              <w:rFonts w:hint="eastAsia" w:ascii="黑体" w:hAnsi="黑体" w:eastAsia="黑体" w:cs="黑体"/>
              <w:sz w:val="24"/>
              <w:szCs w:val="24"/>
            </w:rPr>
            <w:t>十</w:t>
          </w:r>
          <w:r>
            <w:rPr>
              <w:rFonts w:hint="eastAsia" w:ascii="黑体" w:hAnsi="黑体" w:eastAsia="黑体" w:cs="黑体"/>
              <w:sz w:val="24"/>
              <w:szCs w:val="24"/>
              <w:lang w:val="en-US" w:eastAsia="zh-CN"/>
            </w:rPr>
            <w:t>一</w:t>
          </w:r>
          <w:r>
            <w:rPr>
              <w:rFonts w:hint="eastAsia" w:ascii="黑体" w:hAnsi="黑体" w:eastAsia="黑体" w:cs="黑体"/>
              <w:sz w:val="24"/>
              <w:szCs w:val="24"/>
            </w:rPr>
            <w:t>、国有资本经营预算财政拨款收入支出决算表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_Toc641895985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7A1F409">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420"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_Toc157580003 </w:instrText>
          </w:r>
          <w:r>
            <w:rPr>
              <w:rFonts w:hint="eastAsia" w:ascii="黑体" w:hAnsi="黑体" w:eastAsia="黑体" w:cs="黑体"/>
              <w:sz w:val="24"/>
              <w:szCs w:val="24"/>
            </w:rPr>
            <w:fldChar w:fldCharType="separate"/>
          </w:r>
          <w:r>
            <w:rPr>
              <w:rFonts w:hint="eastAsia" w:ascii="黑体" w:hAnsi="黑体" w:eastAsia="黑体" w:cs="黑体"/>
              <w:sz w:val="24"/>
              <w:szCs w:val="24"/>
            </w:rPr>
            <w:t>十</w:t>
          </w:r>
          <w:r>
            <w:rPr>
              <w:rFonts w:hint="eastAsia" w:ascii="黑体" w:hAnsi="黑体" w:eastAsia="黑体" w:cs="黑体"/>
              <w:sz w:val="24"/>
              <w:szCs w:val="24"/>
              <w:lang w:val="en-US" w:eastAsia="zh-CN"/>
            </w:rPr>
            <w:t>二</w:t>
          </w:r>
          <w:r>
            <w:rPr>
              <w:rFonts w:hint="eastAsia" w:ascii="黑体" w:hAnsi="黑体" w:eastAsia="黑体" w:cs="黑体"/>
              <w:sz w:val="24"/>
              <w:szCs w:val="24"/>
            </w:rPr>
            <w:t>、国有资本经营预算财政拨款支出决算表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_Toc157580003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82C1FD8">
          <w:pPr>
            <w:pStyle w:val="16"/>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480" w:lineRule="auto"/>
            <w:ind w:left="420" w:leftChars="0"/>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_Toc157580003 </w:instrText>
          </w:r>
          <w:r>
            <w:rPr>
              <w:rFonts w:hint="eastAsia" w:ascii="黑体" w:hAnsi="黑体" w:eastAsia="黑体" w:cs="黑体"/>
              <w:sz w:val="24"/>
              <w:szCs w:val="24"/>
            </w:rPr>
            <w:fldChar w:fldCharType="separate"/>
          </w:r>
          <w:r>
            <w:rPr>
              <w:rFonts w:hint="eastAsia" w:ascii="黑体" w:hAnsi="黑体" w:eastAsia="黑体" w:cs="黑体"/>
              <w:sz w:val="24"/>
              <w:szCs w:val="24"/>
            </w:rPr>
            <w:t>十三、财政拨款“三公”经费支出决算表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_Toc157580003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70DD863">
          <w:pPr>
            <w:rPr>
              <w:rFonts w:hint="eastAsia"/>
            </w:rPr>
          </w:pPr>
        </w:p>
        <w:p w14:paraId="0B18C92C">
          <w:pPr>
            <w:rPr>
              <w:rFonts w:hint="eastAsia"/>
            </w:rPr>
          </w:pPr>
        </w:p>
        <w:p w14:paraId="00887BA3">
          <w:pPr>
            <w:pStyle w:val="38"/>
            <w:keepNext w:val="0"/>
            <w:keepLines w:val="0"/>
            <w:pageBreakBefore w:val="0"/>
            <w:tabs>
              <w:tab w:val="left" w:pos="207"/>
            </w:tabs>
            <w:kinsoku/>
            <w:wordWrap/>
            <w:overflowPunct/>
            <w:topLinePunct w:val="0"/>
            <w:autoSpaceDE/>
            <w:autoSpaceDN/>
            <w:bidi w:val="0"/>
            <w:adjustRightInd/>
            <w:snapToGrid/>
            <w:ind w:leftChars="0"/>
            <w:jc w:val="both"/>
            <w:textAlignment w:val="auto"/>
            <w:rPr>
              <w:rFonts w:hint="eastAsia" w:ascii="方正小标宋_GBK" w:hAnsi="方正小标宋_GBK" w:eastAsia="方正小标宋_GBK" w:cs="方正小标宋_GBK"/>
              <w:b w:val="0"/>
              <w:sz w:val="44"/>
              <w:szCs w:val="44"/>
            </w:rPr>
            <w:sectPr>
              <w:headerReference r:id="rId3" w:type="default"/>
              <w:pgSz w:w="11906" w:h="16838"/>
              <w:pgMar w:top="2041" w:right="1531" w:bottom="1701" w:left="1531" w:header="851" w:footer="1474" w:gutter="0"/>
              <w:pgNumType w:fmt="decimal" w:start="1"/>
              <w:cols w:space="0" w:num="1"/>
              <w:titlePg/>
              <w:docGrid w:type="lines" w:linePitch="312" w:charSpace="0"/>
            </w:sectPr>
          </w:pPr>
          <w:r>
            <w:rPr>
              <w:sz w:val="24"/>
              <w:szCs w:val="24"/>
            </w:rPr>
            <w:fldChar w:fldCharType="end"/>
          </w:r>
          <w:bookmarkStart w:id="9" w:name="_Toc532085252"/>
          <w:bookmarkStart w:id="10" w:name="_Toc15396599"/>
          <w:bookmarkStart w:id="11" w:name="_Toc15377196"/>
        </w:p>
      </w:sdtContent>
    </w:sdt>
    <w:p w14:paraId="31000F49">
      <w:pPr>
        <w:pStyle w:val="5"/>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b w:val="0"/>
          <w:sz w:val="44"/>
          <w:szCs w:val="44"/>
        </w:rPr>
        <w:t xml:space="preserve">第一部分 </w:t>
      </w:r>
      <w:r>
        <w:rPr>
          <w:rStyle w:val="32"/>
          <w:rFonts w:hint="default" w:ascii="方正小标宋_GBK" w:hAnsi="方正小标宋_GBK" w:eastAsia="方正小标宋_GBK" w:cs="方正小标宋_GBK"/>
          <w:b w:val="0"/>
          <w:bCs w:val="0"/>
          <w:sz w:val="44"/>
          <w:szCs w:val="44"/>
          <w:lang w:val="en"/>
        </w:rPr>
        <w:t>单位</w:t>
      </w:r>
      <w:r>
        <w:rPr>
          <w:rStyle w:val="32"/>
          <w:rFonts w:hint="eastAsia" w:ascii="方正小标宋_GBK" w:hAnsi="方正小标宋_GBK" w:eastAsia="方正小标宋_GBK" w:cs="方正小标宋_GBK"/>
          <w:b w:val="0"/>
          <w:bCs w:val="0"/>
          <w:sz w:val="44"/>
          <w:szCs w:val="44"/>
        </w:rPr>
        <w:t>概况</w:t>
      </w:r>
      <w:bookmarkEnd w:id="9"/>
      <w:bookmarkEnd w:id="10"/>
      <w:bookmarkEnd w:id="11"/>
    </w:p>
    <w:p w14:paraId="5E9833D2">
      <w:pPr>
        <w:pStyle w:val="6"/>
        <w:pageBreakBefore w:val="0"/>
        <w:widowControl w:val="0"/>
        <w:kinsoku/>
        <w:wordWrap/>
        <w:topLinePunct w:val="0"/>
        <w:autoSpaceDE/>
        <w:autoSpaceDN/>
        <w:bidi w:val="0"/>
        <w:spacing w:before="0" w:after="0" w:line="590" w:lineRule="exact"/>
        <w:ind w:firstLine="660" w:firstLineChars="200"/>
        <w:textAlignment w:val="auto"/>
        <w:rPr>
          <w:rStyle w:val="33"/>
          <w:rFonts w:hint="eastAsia" w:ascii="方正黑体_GBK" w:hAnsi="方正黑体_GBK" w:eastAsia="方正黑体_GBK" w:cs="方正黑体_GBK"/>
          <w:b w:val="0"/>
          <w:bCs w:val="0"/>
          <w:sz w:val="33"/>
          <w:szCs w:val="33"/>
        </w:rPr>
      </w:pPr>
      <w:r>
        <w:rPr>
          <w:rStyle w:val="33"/>
          <w:rFonts w:hint="eastAsia" w:ascii="方正黑体_GBK" w:hAnsi="方正黑体_GBK" w:eastAsia="方正黑体_GBK" w:cs="方正黑体_GBK"/>
          <w:b w:val="0"/>
          <w:bCs w:val="0"/>
          <w:sz w:val="33"/>
          <w:szCs w:val="33"/>
        </w:rPr>
        <w:t>一、主要职责</w:t>
      </w:r>
    </w:p>
    <w:p w14:paraId="0503110D">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90" w:lineRule="exact"/>
        <w:ind w:right="0" w:firstLine="660" w:firstLineChars="200"/>
        <w:jc w:val="both"/>
        <w:textAlignment w:val="auto"/>
        <w:outlineLvl w:val="9"/>
        <w:rPr>
          <w:rFonts w:hint="default" w:ascii="Times New Roman" w:hAnsi="Times New Roman" w:eastAsia="方正仿宋_GBK" w:cs="Times New Roman"/>
          <w:sz w:val="33"/>
          <w:szCs w:val="33"/>
          <w:lang w:val="en-US"/>
        </w:rPr>
      </w:pPr>
      <w:bookmarkStart w:id="12" w:name="_Toc15378446"/>
      <w:bookmarkStart w:id="13" w:name="_Toc15377199"/>
      <w:r>
        <w:rPr>
          <w:rFonts w:hint="default" w:ascii="Times New Roman" w:hAnsi="Times New Roman" w:eastAsia="方正仿宋_GBK" w:cs="Times New Roman"/>
          <w:kern w:val="2"/>
          <w:sz w:val="33"/>
          <w:szCs w:val="33"/>
          <w:lang w:val="en-US" w:eastAsia="zh-CN" w:bidi="ar"/>
        </w:rPr>
        <w:t>1. 宣传和贯彻执行国家、省、市有关不动产权登记方面的法律法规、政策。</w:t>
      </w:r>
    </w:p>
    <w:p w14:paraId="73E22FA1">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90" w:lineRule="exact"/>
        <w:ind w:right="0" w:firstLine="660" w:firstLineChars="200"/>
        <w:jc w:val="both"/>
        <w:textAlignment w:val="auto"/>
        <w:outlineLvl w:val="9"/>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kern w:val="2"/>
          <w:sz w:val="33"/>
          <w:szCs w:val="33"/>
          <w:lang w:val="en-US" w:eastAsia="zh-CN" w:bidi="ar"/>
        </w:rPr>
        <w:t>2. 承担市级及市辖区（园区）不动产的登记发证工作，包括土地、房屋、森林、滩涂等不动产的登记发证（包括首次登记、变更登记、转移登记、注销登记、更正登记、异议登记、预告登记、查封登记、他项权登记、其他登记）以及登记的撤销。</w:t>
      </w:r>
    </w:p>
    <w:p w14:paraId="042352D4">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90" w:lineRule="exact"/>
        <w:ind w:right="0" w:firstLine="660" w:firstLineChars="200"/>
        <w:jc w:val="both"/>
        <w:textAlignment w:val="auto"/>
        <w:outlineLvl w:val="9"/>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kern w:val="2"/>
          <w:sz w:val="33"/>
          <w:szCs w:val="33"/>
          <w:lang w:val="en-US" w:eastAsia="zh-CN" w:bidi="ar"/>
        </w:rPr>
        <w:t>3. 协助不动产行政主管</w:t>
      </w:r>
      <w:r>
        <w:rPr>
          <w:rFonts w:hint="default" w:eastAsia="方正仿宋_GBK" w:cs="Times New Roman"/>
          <w:kern w:val="2"/>
          <w:sz w:val="33"/>
          <w:szCs w:val="33"/>
          <w:lang w:val="en" w:eastAsia="zh-CN" w:bidi="ar"/>
        </w:rPr>
        <w:t>单位</w:t>
      </w:r>
      <w:r>
        <w:rPr>
          <w:rFonts w:hint="default" w:ascii="Times New Roman" w:hAnsi="Times New Roman" w:eastAsia="方正仿宋_GBK" w:cs="Times New Roman"/>
          <w:kern w:val="2"/>
          <w:sz w:val="33"/>
          <w:szCs w:val="33"/>
          <w:lang w:val="en-US" w:eastAsia="zh-CN" w:bidi="ar"/>
        </w:rPr>
        <w:t>对不动产市场进行管理，协助司法机关进行不动产权的查封，限制及协助执行工作。</w:t>
      </w:r>
    </w:p>
    <w:p w14:paraId="4544C3BD">
      <w:pPr>
        <w:keepNext w:val="0"/>
        <w:keepLines w:val="0"/>
        <w:pageBreakBefore w:val="0"/>
        <w:widowControl w:val="0"/>
        <w:suppressLineNumbers w:val="0"/>
        <w:kinsoku/>
        <w:wordWrap/>
        <w:overflowPunct w:val="0"/>
        <w:topLinePunct w:val="0"/>
        <w:autoSpaceDE/>
        <w:autoSpaceDN/>
        <w:bidi w:val="0"/>
        <w:spacing w:beforeAutospacing="0" w:afterAutospacing="0" w:line="590" w:lineRule="exact"/>
        <w:ind w:left="0" w:right="0" w:firstLine="660" w:firstLineChars="200"/>
        <w:jc w:val="both"/>
        <w:textAlignment w:val="auto"/>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kern w:val="2"/>
          <w:sz w:val="33"/>
          <w:szCs w:val="33"/>
          <w:lang w:val="en-US" w:eastAsia="zh-CN" w:bidi="ar"/>
        </w:rPr>
        <w:t>4. 负责市及市辖区（园区）不动产权登记质量监督管理及权属纠纷调处工作。</w:t>
      </w:r>
    </w:p>
    <w:p w14:paraId="5FB4FA31">
      <w:pPr>
        <w:keepNext w:val="0"/>
        <w:keepLines w:val="0"/>
        <w:pageBreakBefore w:val="0"/>
        <w:widowControl w:val="0"/>
        <w:suppressLineNumbers w:val="0"/>
        <w:kinsoku/>
        <w:wordWrap/>
        <w:overflowPunct w:val="0"/>
        <w:topLinePunct w:val="0"/>
        <w:autoSpaceDE/>
        <w:autoSpaceDN/>
        <w:bidi w:val="0"/>
        <w:spacing w:beforeAutospacing="0" w:afterAutospacing="0" w:line="590" w:lineRule="exact"/>
        <w:ind w:left="0" w:right="0" w:firstLine="660" w:firstLineChars="200"/>
        <w:jc w:val="both"/>
        <w:textAlignment w:val="auto"/>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kern w:val="2"/>
          <w:sz w:val="33"/>
          <w:szCs w:val="33"/>
          <w:lang w:val="en-US" w:eastAsia="zh-CN" w:bidi="ar"/>
        </w:rPr>
        <w:t xml:space="preserve">5. </w:t>
      </w:r>
      <w:r>
        <w:rPr>
          <w:rFonts w:hint="default" w:ascii="Times New Roman" w:hAnsi="Times New Roman" w:eastAsia="方正仿宋_GBK" w:cs="Times New Roman"/>
          <w:spacing w:val="-6"/>
          <w:kern w:val="2"/>
          <w:sz w:val="33"/>
          <w:szCs w:val="33"/>
          <w:lang w:val="en-US" w:eastAsia="zh-CN" w:bidi="ar"/>
        </w:rPr>
        <w:t>承担全市不动产权登记信息基础平台建设管理及更新工作。</w:t>
      </w:r>
    </w:p>
    <w:p w14:paraId="275EE70C">
      <w:pPr>
        <w:keepNext w:val="0"/>
        <w:keepLines w:val="0"/>
        <w:pageBreakBefore w:val="0"/>
        <w:widowControl w:val="0"/>
        <w:suppressLineNumbers w:val="0"/>
        <w:kinsoku/>
        <w:wordWrap/>
        <w:overflowPunct w:val="0"/>
        <w:topLinePunct w:val="0"/>
        <w:autoSpaceDE/>
        <w:autoSpaceDN/>
        <w:bidi w:val="0"/>
        <w:spacing w:beforeAutospacing="0" w:afterAutospacing="0" w:line="590" w:lineRule="exact"/>
        <w:ind w:left="0" w:right="0" w:firstLine="660" w:firstLineChars="200"/>
        <w:jc w:val="both"/>
        <w:textAlignment w:val="auto"/>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kern w:val="2"/>
          <w:sz w:val="33"/>
          <w:szCs w:val="33"/>
          <w:lang w:val="en-US" w:eastAsia="zh-CN" w:bidi="ar"/>
        </w:rPr>
        <w:t>6. 承担市及市辖区（园区）不动产权籍调查和测绘监督工作，指导县市调查测绘业务。</w:t>
      </w:r>
    </w:p>
    <w:p w14:paraId="180310AD">
      <w:pPr>
        <w:keepNext w:val="0"/>
        <w:keepLines w:val="0"/>
        <w:pageBreakBefore w:val="0"/>
        <w:widowControl w:val="0"/>
        <w:suppressLineNumbers w:val="0"/>
        <w:kinsoku/>
        <w:wordWrap/>
        <w:overflowPunct w:val="0"/>
        <w:topLinePunct w:val="0"/>
        <w:autoSpaceDE/>
        <w:autoSpaceDN/>
        <w:bidi w:val="0"/>
        <w:spacing w:beforeAutospacing="0" w:afterAutospacing="0" w:line="590" w:lineRule="exact"/>
        <w:ind w:left="0" w:right="0" w:firstLine="660" w:firstLineChars="200"/>
        <w:jc w:val="both"/>
        <w:textAlignment w:val="auto"/>
        <w:rPr>
          <w:rFonts w:hint="default" w:ascii="Times New Roman" w:hAnsi="Times New Roman" w:eastAsia="方正仿宋_GBK" w:cs="Times New Roman"/>
          <w:spacing w:val="0"/>
          <w:kern w:val="2"/>
          <w:sz w:val="33"/>
          <w:szCs w:val="33"/>
          <w:lang w:val="en-US" w:eastAsia="zh-CN" w:bidi="ar"/>
        </w:rPr>
      </w:pPr>
      <w:r>
        <w:rPr>
          <w:rFonts w:hint="default" w:ascii="Times New Roman" w:hAnsi="Times New Roman" w:eastAsia="方正仿宋_GBK" w:cs="Times New Roman"/>
          <w:kern w:val="2"/>
          <w:sz w:val="33"/>
          <w:szCs w:val="33"/>
          <w:lang w:val="en-US" w:eastAsia="zh-CN" w:bidi="ar"/>
        </w:rPr>
        <w:t xml:space="preserve">7. </w:t>
      </w:r>
      <w:r>
        <w:rPr>
          <w:rFonts w:hint="default" w:ascii="Times New Roman" w:hAnsi="Times New Roman" w:eastAsia="方正仿宋_GBK" w:cs="Times New Roman"/>
          <w:spacing w:val="0"/>
          <w:kern w:val="2"/>
          <w:sz w:val="33"/>
          <w:szCs w:val="33"/>
          <w:lang w:val="en-US" w:eastAsia="zh-CN" w:bidi="ar"/>
        </w:rPr>
        <w:t>承担市及市辖区（园区）不动产登记数据统计、分析工作。</w:t>
      </w:r>
    </w:p>
    <w:p w14:paraId="34096112">
      <w:pPr>
        <w:keepNext w:val="0"/>
        <w:keepLines w:val="0"/>
        <w:pageBreakBefore w:val="0"/>
        <w:widowControl w:val="0"/>
        <w:suppressLineNumbers w:val="0"/>
        <w:kinsoku/>
        <w:wordWrap/>
        <w:overflowPunct w:val="0"/>
        <w:topLinePunct w:val="0"/>
        <w:autoSpaceDE/>
        <w:autoSpaceDN/>
        <w:bidi w:val="0"/>
        <w:spacing w:beforeAutospacing="0" w:afterAutospacing="0" w:line="590" w:lineRule="exact"/>
        <w:ind w:left="0" w:right="0" w:firstLine="660" w:firstLineChars="200"/>
        <w:jc w:val="both"/>
        <w:textAlignment w:val="auto"/>
        <w:rPr>
          <w:rFonts w:hint="default" w:ascii="Times New Roman" w:hAnsi="Times New Roman" w:eastAsia="方正仿宋_GBK" w:cs="Times New Roman"/>
          <w:spacing w:val="0"/>
          <w:kern w:val="2"/>
          <w:sz w:val="33"/>
          <w:szCs w:val="33"/>
          <w:lang w:val="en-US" w:eastAsia="zh-CN" w:bidi="ar"/>
        </w:rPr>
      </w:pPr>
      <w:r>
        <w:rPr>
          <w:rFonts w:hint="default" w:ascii="Times New Roman" w:hAnsi="Times New Roman" w:eastAsia="方正仿宋_GBK" w:cs="Times New Roman"/>
          <w:spacing w:val="0"/>
          <w:kern w:val="2"/>
          <w:sz w:val="33"/>
          <w:szCs w:val="33"/>
          <w:lang w:val="en-US" w:eastAsia="zh-CN" w:bidi="ar"/>
        </w:rPr>
        <w:t>8. 指导全市不动产登记业务开展，管理派驻机构和直属单位。</w:t>
      </w:r>
    </w:p>
    <w:p w14:paraId="2EBEFAE2">
      <w:pPr>
        <w:keepNext w:val="0"/>
        <w:keepLines w:val="0"/>
        <w:pageBreakBefore w:val="0"/>
        <w:widowControl w:val="0"/>
        <w:suppressLineNumbers w:val="0"/>
        <w:kinsoku/>
        <w:wordWrap/>
        <w:overflowPunct w:val="0"/>
        <w:topLinePunct w:val="0"/>
        <w:autoSpaceDE/>
        <w:autoSpaceDN/>
        <w:bidi w:val="0"/>
        <w:spacing w:beforeAutospacing="0" w:afterAutospacing="0" w:line="590" w:lineRule="exact"/>
        <w:ind w:left="0" w:right="0" w:firstLine="660" w:firstLineChars="200"/>
        <w:jc w:val="both"/>
        <w:textAlignment w:val="auto"/>
        <w:rPr>
          <w:rFonts w:hint="default" w:ascii="Times New Roman" w:hAnsi="Times New Roman" w:eastAsia="方正仿宋_GBK" w:cs="Times New Roman"/>
          <w:spacing w:val="0"/>
          <w:kern w:val="2"/>
          <w:sz w:val="33"/>
          <w:szCs w:val="33"/>
          <w:lang w:val="en-US" w:eastAsia="zh-CN" w:bidi="ar"/>
        </w:rPr>
      </w:pPr>
      <w:bookmarkStart w:id="14" w:name="_Toc328948025"/>
      <w:bookmarkStart w:id="15" w:name="_Toc1298"/>
      <w:r>
        <w:rPr>
          <w:rFonts w:hint="default" w:ascii="Times New Roman" w:hAnsi="Times New Roman" w:eastAsia="方正仿宋_GBK" w:cs="Times New Roman"/>
          <w:spacing w:val="0"/>
          <w:kern w:val="2"/>
          <w:sz w:val="33"/>
          <w:szCs w:val="33"/>
          <w:lang w:val="en-US" w:eastAsia="zh-CN" w:bidi="ar"/>
        </w:rPr>
        <w:t>9. 承办市自然资源规划局交办的其他事项。</w:t>
      </w:r>
      <w:bookmarkEnd w:id="14"/>
      <w:bookmarkEnd w:id="15"/>
    </w:p>
    <w:bookmarkEnd w:id="12"/>
    <w:bookmarkEnd w:id="13"/>
    <w:p w14:paraId="2683D963">
      <w:pPr>
        <w:pStyle w:val="6"/>
        <w:pageBreakBefore w:val="0"/>
        <w:widowControl w:val="0"/>
        <w:kinsoku/>
        <w:wordWrap/>
        <w:topLinePunct w:val="0"/>
        <w:autoSpaceDE/>
        <w:autoSpaceDN/>
        <w:bidi w:val="0"/>
        <w:spacing w:before="0" w:after="0" w:line="590" w:lineRule="exact"/>
        <w:ind w:firstLine="660" w:firstLineChars="200"/>
        <w:textAlignment w:val="auto"/>
        <w:rPr>
          <w:rFonts w:hint="default" w:ascii="方正黑体_GBK" w:hAnsi="方正黑体_GBK" w:eastAsia="方正黑体_GBK" w:cs="方正黑体_GBK"/>
          <w:b w:val="0"/>
          <w:color w:val="000000"/>
          <w:sz w:val="33"/>
          <w:szCs w:val="33"/>
        </w:rPr>
      </w:pPr>
      <w:bookmarkStart w:id="16" w:name="_Toc2033674789"/>
      <w:bookmarkStart w:id="17" w:name="_Toc15377200"/>
      <w:bookmarkStart w:id="18" w:name="_Toc15396601"/>
      <w:r>
        <w:rPr>
          <w:rFonts w:hint="default" w:ascii="方正黑体_GBK" w:hAnsi="方正黑体_GBK" w:eastAsia="方正黑体_GBK" w:cs="方正黑体_GBK"/>
          <w:b w:val="0"/>
          <w:color w:val="000000"/>
          <w:sz w:val="33"/>
          <w:szCs w:val="33"/>
        </w:rPr>
        <w:t>二、机构设置</w:t>
      </w:r>
      <w:bookmarkEnd w:id="16"/>
      <w:bookmarkEnd w:id="17"/>
      <w:bookmarkEnd w:id="18"/>
    </w:p>
    <w:p w14:paraId="16C2857D">
      <w:pPr>
        <w:pageBreakBefore w:val="0"/>
        <w:widowControl w:val="0"/>
        <w:kinsoku/>
        <w:wordWrap/>
        <w:topLinePunct w:val="0"/>
        <w:autoSpaceDE/>
        <w:autoSpaceDN/>
        <w:bidi w:val="0"/>
        <w:spacing w:line="590" w:lineRule="exact"/>
        <w:ind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sz w:val="33"/>
          <w:szCs w:val="33"/>
          <w:lang w:eastAsia="zh-CN"/>
        </w:rPr>
        <w:t>广安市不动产登记中心属市自然资源规划局</w:t>
      </w:r>
      <w:r>
        <w:rPr>
          <w:rFonts w:hint="default" w:ascii="Times New Roman" w:hAnsi="Times New Roman" w:eastAsia="方正仿宋_GBK" w:cs="Times New Roman"/>
          <w:sz w:val="33"/>
          <w:szCs w:val="33"/>
        </w:rPr>
        <w:t>下属二级</w:t>
      </w:r>
      <w:r>
        <w:rPr>
          <w:rFonts w:hint="default" w:ascii="Times New Roman" w:hAnsi="Times New Roman" w:eastAsia="方正仿宋_GBK" w:cs="Times New Roman"/>
          <w:sz w:val="33"/>
          <w:szCs w:val="33"/>
          <w:lang w:eastAsia="zh-CN"/>
        </w:rPr>
        <w:t>预算</w:t>
      </w:r>
      <w:r>
        <w:rPr>
          <w:rFonts w:hint="default" w:ascii="Times New Roman" w:hAnsi="Times New Roman" w:eastAsia="方正仿宋_GBK" w:cs="Times New Roman"/>
          <w:sz w:val="33"/>
          <w:szCs w:val="33"/>
        </w:rPr>
        <w:t>单位。截至</w:t>
      </w:r>
      <w:r>
        <w:rPr>
          <w:rFonts w:hint="eastAsia" w:eastAsia="方正仿宋_GBK" w:cs="Times New Roman"/>
          <w:sz w:val="33"/>
          <w:szCs w:val="33"/>
          <w:lang w:eastAsia="zh-CN"/>
        </w:rPr>
        <w:t>2024</w:t>
      </w:r>
      <w:r>
        <w:rPr>
          <w:rFonts w:hint="default" w:ascii="Times New Roman" w:hAnsi="Times New Roman" w:eastAsia="方正仿宋_GBK" w:cs="Times New Roman"/>
          <w:sz w:val="33"/>
          <w:szCs w:val="33"/>
        </w:rPr>
        <w:t>年12月末，单位在编职工52人，其中：管理人员21人，专业技术人员25人，技术工人6人，劳务派遣人员34人。纳入</w:t>
      </w:r>
      <w:r>
        <w:rPr>
          <w:rFonts w:hint="default" w:ascii="Times New Roman" w:hAnsi="Times New Roman" w:eastAsia="方正仿宋_GBK" w:cs="Times New Roman"/>
          <w:sz w:val="33"/>
          <w:szCs w:val="33"/>
          <w:lang w:eastAsia="zh-CN"/>
        </w:rPr>
        <w:t>广安市不动产登记中心</w:t>
      </w:r>
      <w:r>
        <w:rPr>
          <w:rFonts w:hint="eastAsia" w:eastAsia="方正仿宋_GBK" w:cs="Times New Roman"/>
          <w:sz w:val="33"/>
          <w:szCs w:val="33"/>
          <w:lang w:eastAsia="zh-CN"/>
        </w:rPr>
        <w:t>2024</w:t>
      </w:r>
      <w:r>
        <w:rPr>
          <w:rFonts w:hint="default" w:ascii="Times New Roman" w:hAnsi="Times New Roman" w:eastAsia="方正仿宋_GBK" w:cs="Times New Roman"/>
          <w:sz w:val="33"/>
          <w:szCs w:val="33"/>
        </w:rPr>
        <w:t>年度单位决算编制范围包括：</w:t>
      </w:r>
      <w:r>
        <w:rPr>
          <w:rFonts w:hint="default" w:ascii="Times New Roman" w:hAnsi="Times New Roman" w:eastAsia="方正仿宋_GBK" w:cs="Times New Roman"/>
          <w:sz w:val="33"/>
          <w:szCs w:val="33"/>
          <w:lang w:eastAsia="zh-CN"/>
        </w:rPr>
        <w:t>广安市不动产登记中心</w:t>
      </w:r>
      <w:r>
        <w:rPr>
          <w:rFonts w:hint="eastAsia" w:eastAsia="方正仿宋_GBK" w:cs="Times New Roman"/>
          <w:sz w:val="33"/>
          <w:szCs w:val="33"/>
          <w:lang w:eastAsia="zh-CN"/>
        </w:rPr>
        <w:t>。</w:t>
      </w:r>
    </w:p>
    <w:p w14:paraId="05F0E13E">
      <w:pPr>
        <w:rPr>
          <w:rFonts w:hint="eastAsia" w:ascii="方正小标宋_GBK" w:hAnsi="方正小标宋_GBK" w:eastAsia="方正小标宋_GBK" w:cs="方正小标宋_GBK"/>
          <w:b w:val="0"/>
          <w:color w:val="000000"/>
        </w:rPr>
      </w:pPr>
      <w:bookmarkStart w:id="19" w:name="_Toc15396602"/>
      <w:bookmarkStart w:id="20" w:name="_Toc15377204"/>
      <w:bookmarkStart w:id="21" w:name="_Toc534842205"/>
      <w:r>
        <w:rPr>
          <w:rFonts w:hint="eastAsia" w:ascii="方正小标宋_GBK" w:hAnsi="方正小标宋_GBK" w:eastAsia="方正小标宋_GBK" w:cs="方正小标宋_GBK"/>
          <w:b w:val="0"/>
          <w:color w:val="000000"/>
        </w:rPr>
        <w:br w:type="page"/>
      </w:r>
    </w:p>
    <w:p w14:paraId="718FA93C">
      <w:pPr>
        <w:pStyle w:val="5"/>
        <w:ind w:right="440"/>
        <w:jc w:val="center"/>
        <w:rPr>
          <w:rStyle w:val="32"/>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color w:val="000000"/>
        </w:rPr>
        <w:t>第二部分</w:t>
      </w:r>
      <w:r>
        <w:rPr>
          <w:rFonts w:hint="eastAsia" w:ascii="方正小标宋_GBK" w:hAnsi="方正小标宋_GBK" w:eastAsia="方正小标宋_GBK" w:cs="方正小标宋_GBK"/>
          <w:color w:val="000000"/>
        </w:rPr>
        <w:t xml:space="preserve"> </w:t>
      </w:r>
      <w:r>
        <w:rPr>
          <w:rStyle w:val="32"/>
          <w:rFonts w:hint="eastAsia" w:ascii="方正小标宋_GBK" w:hAnsi="方正小标宋_GBK" w:eastAsia="方正小标宋_GBK" w:cs="方正小标宋_GBK"/>
          <w:b w:val="0"/>
          <w:bCs w:val="0"/>
          <w:lang w:eastAsia="zh-CN"/>
        </w:rPr>
        <w:t>2024年度</w:t>
      </w:r>
      <w:r>
        <w:rPr>
          <w:rStyle w:val="32"/>
          <w:rFonts w:hint="default" w:ascii="方正小标宋_GBK" w:hAnsi="方正小标宋_GBK" w:eastAsia="方正小标宋_GBK" w:cs="方正小标宋_GBK"/>
          <w:b w:val="0"/>
          <w:bCs w:val="0"/>
          <w:lang w:val="en"/>
        </w:rPr>
        <w:t>单位</w:t>
      </w:r>
      <w:r>
        <w:rPr>
          <w:rStyle w:val="32"/>
          <w:rFonts w:hint="eastAsia" w:ascii="方正小标宋_GBK" w:hAnsi="方正小标宋_GBK" w:eastAsia="方正小标宋_GBK" w:cs="方正小标宋_GBK"/>
          <w:b w:val="0"/>
          <w:bCs w:val="0"/>
        </w:rPr>
        <w:t>决算情况说明</w:t>
      </w:r>
      <w:bookmarkEnd w:id="19"/>
      <w:bookmarkEnd w:id="20"/>
      <w:bookmarkEnd w:id="21"/>
    </w:p>
    <w:p w14:paraId="6E451768">
      <w:pPr>
        <w:pStyle w:val="31"/>
        <w:numPr>
          <w:ilvl w:val="0"/>
          <w:numId w:val="2"/>
        </w:numPr>
        <w:spacing w:line="600" w:lineRule="exact"/>
        <w:ind w:firstLineChars="0"/>
        <w:outlineLvl w:val="1"/>
        <w:rPr>
          <w:rStyle w:val="33"/>
          <w:rFonts w:hint="eastAsia" w:ascii="方正黑体_GBK" w:hAnsi="方正黑体_GBK" w:eastAsia="方正黑体_GBK" w:cs="方正黑体_GBK"/>
          <w:b w:val="0"/>
          <w:sz w:val="33"/>
          <w:szCs w:val="33"/>
        </w:rPr>
      </w:pPr>
      <w:bookmarkStart w:id="22" w:name="_Toc15377205"/>
      <w:bookmarkStart w:id="23" w:name="_Toc15396603"/>
      <w:bookmarkStart w:id="24" w:name="_Toc1022724130"/>
      <w:r>
        <w:rPr>
          <w:rFonts w:hint="eastAsia" w:ascii="方正黑体_GBK" w:hAnsi="方正黑体_GBK" w:eastAsia="方正黑体_GBK" w:cs="方正黑体_GBK"/>
          <w:color w:val="000000"/>
          <w:sz w:val="33"/>
          <w:szCs w:val="33"/>
        </w:rPr>
        <w:t>收</w:t>
      </w:r>
      <w:r>
        <w:rPr>
          <w:rStyle w:val="33"/>
          <w:rFonts w:hint="eastAsia" w:ascii="方正黑体_GBK" w:hAnsi="方正黑体_GBK" w:eastAsia="方正黑体_GBK" w:cs="方正黑体_GBK"/>
          <w:b w:val="0"/>
          <w:sz w:val="33"/>
          <w:szCs w:val="33"/>
        </w:rPr>
        <w:t>入支出决算总体情况说明</w:t>
      </w:r>
      <w:bookmarkEnd w:id="22"/>
      <w:bookmarkEnd w:id="23"/>
      <w:bookmarkEnd w:id="24"/>
    </w:p>
    <w:p w14:paraId="186EBE9C">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color w:val="000000"/>
          <w:sz w:val="33"/>
          <w:szCs w:val="33"/>
        </w:rPr>
      </w:pPr>
      <w:r>
        <w:rPr>
          <w:rFonts w:hint="eastAsia" w:eastAsia="方正仿宋_GBK" w:cs="Times New Roman"/>
          <w:color w:val="000000"/>
          <w:sz w:val="33"/>
          <w:szCs w:val="33"/>
          <w:lang w:eastAsia="zh-CN"/>
        </w:rPr>
        <w:t>2024年度</w:t>
      </w:r>
      <w:r>
        <w:rPr>
          <w:rFonts w:hint="default" w:ascii="Times New Roman" w:hAnsi="Times New Roman" w:eastAsia="方正仿宋_GBK" w:cs="Times New Roman"/>
          <w:color w:val="000000"/>
          <w:sz w:val="33"/>
          <w:szCs w:val="33"/>
        </w:rPr>
        <w:t>收</w:t>
      </w:r>
      <w:r>
        <w:rPr>
          <w:rFonts w:hint="default" w:ascii="Times New Roman" w:hAnsi="Times New Roman" w:eastAsia="方正仿宋_GBK" w:cs="Times New Roman"/>
          <w:color w:val="000000"/>
          <w:sz w:val="33"/>
          <w:szCs w:val="33"/>
          <w:lang w:eastAsia="zh-CN"/>
        </w:rPr>
        <w:t>入</w:t>
      </w:r>
      <w:r>
        <w:rPr>
          <w:rFonts w:hint="default" w:ascii="Times New Roman" w:hAnsi="Times New Roman" w:eastAsia="方正仿宋_GBK" w:cs="Times New Roman"/>
          <w:color w:val="000000"/>
          <w:sz w:val="33"/>
          <w:szCs w:val="33"/>
        </w:rPr>
        <w:t>总计</w:t>
      </w:r>
      <w:r>
        <w:rPr>
          <w:rFonts w:hint="eastAsia" w:eastAsia="方正仿宋_GBK" w:cs="Times New Roman"/>
          <w:color w:val="000000"/>
          <w:sz w:val="33"/>
          <w:szCs w:val="33"/>
          <w:lang w:val="en-US" w:eastAsia="zh-CN"/>
        </w:rPr>
        <w:t>1305.9</w:t>
      </w:r>
      <w:r>
        <w:rPr>
          <w:rFonts w:hint="default" w:ascii="Times New Roman" w:hAnsi="Times New Roman" w:eastAsia="方正仿宋_GBK" w:cs="Times New Roman"/>
          <w:color w:val="000000"/>
          <w:sz w:val="33"/>
          <w:szCs w:val="33"/>
          <w:lang w:eastAsia="zh-CN"/>
        </w:rPr>
        <w:t>万元，支出总计</w:t>
      </w:r>
      <w:r>
        <w:rPr>
          <w:rFonts w:hint="eastAsia" w:eastAsia="方正仿宋_GBK" w:cs="Times New Roman"/>
          <w:color w:val="000000"/>
          <w:sz w:val="33"/>
          <w:szCs w:val="33"/>
          <w:lang w:val="en-US" w:eastAsia="zh-CN"/>
        </w:rPr>
        <w:t>1305.9</w:t>
      </w:r>
      <w:r>
        <w:rPr>
          <w:rFonts w:hint="default" w:ascii="Times New Roman" w:hAnsi="Times New Roman" w:eastAsia="方正仿宋_GBK" w:cs="Times New Roman"/>
          <w:color w:val="000000"/>
          <w:sz w:val="33"/>
          <w:szCs w:val="33"/>
        </w:rPr>
        <w:t>万元。与</w:t>
      </w:r>
      <w:r>
        <w:rPr>
          <w:rFonts w:hint="eastAsia" w:eastAsia="方正仿宋_GBK" w:cs="Times New Roman"/>
          <w:color w:val="000000"/>
          <w:sz w:val="33"/>
          <w:szCs w:val="33"/>
          <w:lang w:eastAsia="zh-CN"/>
        </w:rPr>
        <w:t>2023年度</w:t>
      </w:r>
      <w:r>
        <w:rPr>
          <w:rFonts w:hint="eastAsia" w:eastAsia="方正仿宋_GBK" w:cs="Times New Roman"/>
          <w:color w:val="000000"/>
          <w:sz w:val="33"/>
          <w:szCs w:val="33"/>
          <w:lang w:val="en-US" w:eastAsia="zh-CN"/>
        </w:rPr>
        <w:t>1235.99万元</w:t>
      </w:r>
      <w:r>
        <w:rPr>
          <w:rFonts w:hint="default" w:ascii="Times New Roman" w:hAnsi="Times New Roman" w:eastAsia="方正仿宋_GBK" w:cs="Times New Roman"/>
          <w:color w:val="000000"/>
          <w:sz w:val="33"/>
          <w:szCs w:val="33"/>
        </w:rPr>
        <w:t>相比，收</w:t>
      </w:r>
      <w:r>
        <w:rPr>
          <w:rFonts w:hint="default" w:ascii="Times New Roman" w:hAnsi="Times New Roman" w:eastAsia="方正仿宋_GBK" w:cs="Times New Roman"/>
          <w:color w:val="000000"/>
          <w:sz w:val="33"/>
          <w:szCs w:val="33"/>
          <w:lang w:eastAsia="zh-CN"/>
        </w:rPr>
        <w:t>入</w:t>
      </w:r>
      <w:r>
        <w:rPr>
          <w:rFonts w:hint="default" w:ascii="Times New Roman" w:hAnsi="Times New Roman" w:eastAsia="方正仿宋_GBK" w:cs="Times New Roman"/>
          <w:color w:val="000000"/>
          <w:sz w:val="33"/>
          <w:szCs w:val="33"/>
        </w:rPr>
        <w:t>总计</w:t>
      </w:r>
      <w:r>
        <w:rPr>
          <w:rFonts w:hint="eastAsia" w:eastAsia="方正仿宋_GBK" w:cs="Times New Roman"/>
          <w:color w:val="000000"/>
          <w:sz w:val="33"/>
          <w:szCs w:val="33"/>
          <w:lang w:eastAsia="zh-CN"/>
        </w:rPr>
        <w:t>增加</w:t>
      </w:r>
      <w:r>
        <w:rPr>
          <w:rFonts w:hint="eastAsia" w:eastAsia="方正仿宋_GBK" w:cs="Times New Roman"/>
          <w:color w:val="000000"/>
          <w:sz w:val="33"/>
          <w:szCs w:val="33"/>
          <w:lang w:val="en-US" w:eastAsia="zh-CN"/>
        </w:rPr>
        <w:t>69.91</w:t>
      </w:r>
      <w:r>
        <w:rPr>
          <w:rFonts w:hint="default" w:ascii="Times New Roman" w:hAnsi="Times New Roman" w:eastAsia="方正仿宋_GBK" w:cs="Times New Roman"/>
          <w:color w:val="000000"/>
          <w:sz w:val="33"/>
          <w:szCs w:val="33"/>
          <w:lang w:eastAsia="zh-CN"/>
        </w:rPr>
        <w:t>万元</w:t>
      </w:r>
      <w:r>
        <w:rPr>
          <w:rFonts w:hint="default" w:ascii="Times New Roman" w:hAnsi="Times New Roman" w:eastAsia="方正仿宋_GBK" w:cs="Times New Roman"/>
          <w:color w:val="000000"/>
          <w:sz w:val="33"/>
          <w:szCs w:val="33"/>
        </w:rPr>
        <w:t>，</w:t>
      </w:r>
      <w:r>
        <w:rPr>
          <w:rFonts w:hint="eastAsia" w:eastAsia="方正仿宋_GBK" w:cs="Times New Roman"/>
          <w:color w:val="000000"/>
          <w:sz w:val="33"/>
          <w:szCs w:val="33"/>
          <w:lang w:eastAsia="zh-CN"/>
        </w:rPr>
        <w:t>上升</w:t>
      </w:r>
      <w:r>
        <w:rPr>
          <w:rFonts w:hint="eastAsia" w:eastAsia="方正仿宋_GBK" w:cs="Times New Roman"/>
          <w:color w:val="000000"/>
          <w:sz w:val="33"/>
          <w:szCs w:val="33"/>
          <w:lang w:val="en-US" w:eastAsia="zh-CN"/>
        </w:rPr>
        <w:t>5.7%</w:t>
      </w:r>
      <w:r>
        <w:rPr>
          <w:rFonts w:hint="default" w:ascii="Times New Roman" w:hAnsi="Times New Roman" w:eastAsia="方正仿宋_GBK" w:cs="Times New Roman"/>
          <w:color w:val="000000"/>
          <w:sz w:val="33"/>
          <w:szCs w:val="33"/>
          <w:lang w:eastAsia="zh-CN"/>
        </w:rPr>
        <w:t>，支出</w:t>
      </w:r>
      <w:r>
        <w:rPr>
          <w:rFonts w:hint="default" w:ascii="Times New Roman" w:hAnsi="Times New Roman" w:eastAsia="方正仿宋_GBK" w:cs="Times New Roman"/>
          <w:color w:val="000000"/>
          <w:sz w:val="33"/>
          <w:szCs w:val="33"/>
        </w:rPr>
        <w:t>总计</w:t>
      </w:r>
      <w:r>
        <w:rPr>
          <w:rFonts w:hint="eastAsia" w:eastAsia="方正仿宋_GBK" w:cs="Times New Roman"/>
          <w:color w:val="000000"/>
          <w:sz w:val="33"/>
          <w:szCs w:val="33"/>
          <w:lang w:eastAsia="zh-CN"/>
        </w:rPr>
        <w:t>增加</w:t>
      </w:r>
      <w:r>
        <w:rPr>
          <w:rFonts w:hint="eastAsia" w:eastAsia="方正仿宋_GBK" w:cs="Times New Roman"/>
          <w:color w:val="000000"/>
          <w:sz w:val="33"/>
          <w:szCs w:val="33"/>
          <w:lang w:val="en-US" w:eastAsia="zh-CN"/>
        </w:rPr>
        <w:t>69.91</w:t>
      </w:r>
      <w:r>
        <w:rPr>
          <w:rFonts w:hint="default" w:ascii="Times New Roman" w:hAnsi="Times New Roman" w:eastAsia="方正仿宋_GBK" w:cs="Times New Roman"/>
          <w:color w:val="000000"/>
          <w:sz w:val="33"/>
          <w:szCs w:val="33"/>
          <w:lang w:eastAsia="zh-CN"/>
        </w:rPr>
        <w:t>万元</w:t>
      </w:r>
      <w:r>
        <w:rPr>
          <w:rFonts w:hint="default" w:ascii="Times New Roman" w:hAnsi="Times New Roman" w:eastAsia="方正仿宋_GBK" w:cs="Times New Roman"/>
          <w:color w:val="000000"/>
          <w:sz w:val="33"/>
          <w:szCs w:val="33"/>
        </w:rPr>
        <w:t>，</w:t>
      </w:r>
      <w:r>
        <w:rPr>
          <w:rFonts w:hint="eastAsia" w:eastAsia="方正仿宋_GBK" w:cs="Times New Roman"/>
          <w:color w:val="000000"/>
          <w:sz w:val="33"/>
          <w:szCs w:val="33"/>
          <w:lang w:eastAsia="zh-CN"/>
        </w:rPr>
        <w:t>上升</w:t>
      </w:r>
      <w:r>
        <w:rPr>
          <w:rFonts w:hint="eastAsia" w:eastAsia="方正仿宋_GBK" w:cs="Times New Roman"/>
          <w:color w:val="000000"/>
          <w:sz w:val="33"/>
          <w:szCs w:val="33"/>
          <w:lang w:val="en-US" w:eastAsia="zh-CN"/>
        </w:rPr>
        <w:t>5.7%</w:t>
      </w:r>
      <w:r>
        <w:rPr>
          <w:rFonts w:hint="eastAsia" w:eastAsia="方正仿宋_GBK" w:cs="Times New Roman"/>
          <w:color w:val="000000"/>
          <w:sz w:val="33"/>
          <w:szCs w:val="33"/>
          <w:lang w:eastAsia="zh-CN"/>
        </w:rPr>
        <w:t>，</w:t>
      </w:r>
      <w:r>
        <w:rPr>
          <w:rFonts w:hint="default" w:eastAsia="方正仿宋_GBK" w:cs="Times New Roman"/>
          <w:color w:val="000000"/>
          <w:sz w:val="33"/>
          <w:szCs w:val="33"/>
          <w:lang w:val="en-US" w:eastAsia="zh-CN"/>
        </w:rPr>
        <w:t>主要变动原因是</w:t>
      </w:r>
      <w:r>
        <w:rPr>
          <w:rFonts w:hint="eastAsia" w:eastAsia="方正仿宋_GBK" w:cs="Times New Roman"/>
          <w:color w:val="000000"/>
          <w:sz w:val="33"/>
          <w:szCs w:val="33"/>
          <w:lang w:val="en-US" w:eastAsia="zh-CN"/>
        </w:rPr>
        <w:t>基本工资标准调整</w:t>
      </w:r>
      <w:r>
        <w:rPr>
          <w:rFonts w:hint="default" w:eastAsia="方正仿宋_GBK" w:cs="Times New Roman"/>
          <w:color w:val="000000"/>
          <w:sz w:val="33"/>
          <w:szCs w:val="33"/>
          <w:lang w:val="en-US" w:eastAsia="zh-CN"/>
        </w:rPr>
        <w:t>。</w:t>
      </w:r>
    </w:p>
    <w:p w14:paraId="35999D4C">
      <w:pPr>
        <w:pStyle w:val="23"/>
      </w:pPr>
      <w:r>
        <w:rPr>
          <w:rFonts w:hint="default" w:ascii="仿宋" w:hAnsi="仿宋" w:eastAsia="仿宋"/>
          <w:color w:val="000000"/>
          <w:sz w:val="32"/>
          <w:szCs w:val="32"/>
          <w:lang w:val="en-US" w:eastAsia="zh-CN"/>
        </w:rPr>
        <w:t xml:space="preserve">       </w:t>
      </w:r>
      <w:r>
        <w:drawing>
          <wp:inline distT="0" distB="0" distL="114300" distR="114300">
            <wp:extent cx="3919855" cy="1688465"/>
            <wp:effectExtent l="5080" t="4445" r="6985" b="13970"/>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911486">
      <w:pPr>
        <w:pStyle w:val="23"/>
        <w:jc w:val="center"/>
        <w:rPr>
          <w:rFonts w:ascii="仿宋_GB2312" w:eastAsia="仿宋_GB2312"/>
          <w:color w:val="000000"/>
          <w:sz w:val="32"/>
          <w:szCs w:val="32"/>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14:paraId="74DF3C60">
      <w:pPr>
        <w:pStyle w:val="31"/>
        <w:numPr>
          <w:ilvl w:val="0"/>
          <w:numId w:val="2"/>
        </w:numPr>
        <w:spacing w:line="600" w:lineRule="exact"/>
        <w:ind w:firstLineChars="0"/>
        <w:outlineLvl w:val="1"/>
        <w:rPr>
          <w:rFonts w:hint="eastAsia" w:ascii="方正黑体_GBK" w:hAnsi="方正黑体_GBK" w:eastAsia="方正黑体_GBK" w:cs="方正黑体_GBK"/>
          <w:color w:val="000000"/>
          <w:sz w:val="33"/>
          <w:szCs w:val="33"/>
        </w:rPr>
      </w:pPr>
      <w:bookmarkStart w:id="25" w:name="_Toc15396604"/>
      <w:bookmarkStart w:id="26" w:name="_Toc2076571911"/>
      <w:bookmarkStart w:id="27" w:name="_Toc15377206"/>
      <w:r>
        <w:rPr>
          <w:rFonts w:hint="eastAsia" w:ascii="方正黑体_GBK" w:hAnsi="方正黑体_GBK" w:eastAsia="方正黑体_GBK" w:cs="方正黑体_GBK"/>
          <w:color w:val="000000"/>
          <w:sz w:val="33"/>
          <w:szCs w:val="33"/>
        </w:rPr>
        <w:t>收入决算情况说明</w:t>
      </w:r>
      <w:bookmarkEnd w:id="25"/>
      <w:bookmarkEnd w:id="26"/>
      <w:bookmarkEnd w:id="27"/>
    </w:p>
    <w:p w14:paraId="552E516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imes New Roman" w:hAnsi="Times New Roman" w:eastAsia="方正仿宋_GBK" w:cs="Times New Roman"/>
          <w:color w:val="000000"/>
          <w:sz w:val="33"/>
          <w:szCs w:val="33"/>
          <w:lang w:val="en-US" w:eastAsia="zh-CN"/>
        </w:rPr>
      </w:pPr>
      <w:r>
        <w:drawing>
          <wp:anchor distT="0" distB="0" distL="114935" distR="114935" simplePos="0" relativeHeight="251661312" behindDoc="0" locked="0" layoutInCell="1" allowOverlap="1">
            <wp:simplePos x="0" y="0"/>
            <wp:positionH relativeFrom="column">
              <wp:posOffset>1372235</wp:posOffset>
            </wp:positionH>
            <wp:positionV relativeFrom="paragraph">
              <wp:posOffset>873125</wp:posOffset>
            </wp:positionV>
            <wp:extent cx="2887980" cy="1688465"/>
            <wp:effectExtent l="5080" t="4445" r="17780" b="13970"/>
            <wp:wrapTopAndBottom/>
            <wp:docPr id="13" name="图表 2" descr="7b0a202020202263686172745265734964223a202234353236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eastAsia="方正仿宋_GBK" w:cs="Times New Roman"/>
          <w:color w:val="000000"/>
          <w:sz w:val="33"/>
          <w:szCs w:val="33"/>
          <w:lang w:eastAsia="zh-CN"/>
        </w:rPr>
        <w:t>2024年度</w:t>
      </w:r>
      <w:r>
        <w:rPr>
          <w:rFonts w:hint="eastAsia" w:ascii="Times New Roman" w:hAnsi="Times New Roman" w:eastAsia="方正仿宋_GBK" w:cs="Times New Roman"/>
          <w:color w:val="000000"/>
          <w:sz w:val="33"/>
          <w:szCs w:val="33"/>
        </w:rPr>
        <w:t>本</w:t>
      </w:r>
      <w:r>
        <w:rPr>
          <w:rFonts w:hint="eastAsia" w:eastAsia="方正仿宋_GBK" w:cs="Times New Roman"/>
          <w:color w:val="000000"/>
          <w:sz w:val="33"/>
          <w:szCs w:val="33"/>
          <w:lang w:eastAsia="zh-CN"/>
        </w:rPr>
        <w:t>年度</w:t>
      </w:r>
      <w:r>
        <w:rPr>
          <w:rFonts w:hint="eastAsia" w:ascii="Times New Roman" w:hAnsi="Times New Roman" w:eastAsia="方正仿宋_GBK" w:cs="Times New Roman"/>
          <w:color w:val="000000"/>
          <w:sz w:val="33"/>
          <w:szCs w:val="33"/>
        </w:rPr>
        <w:t>收入合计</w:t>
      </w:r>
      <w:r>
        <w:rPr>
          <w:rFonts w:hint="eastAsia" w:eastAsia="方正仿宋_GBK" w:cs="Times New Roman"/>
          <w:color w:val="000000"/>
          <w:sz w:val="33"/>
          <w:szCs w:val="33"/>
          <w:lang w:val="en-US" w:eastAsia="zh-CN"/>
        </w:rPr>
        <w:t>1305.9</w:t>
      </w:r>
      <w:r>
        <w:rPr>
          <w:rFonts w:hint="eastAsia" w:ascii="Times New Roman" w:hAnsi="Times New Roman" w:eastAsia="方正仿宋_GBK" w:cs="Times New Roman"/>
          <w:color w:val="000000"/>
          <w:sz w:val="33"/>
          <w:szCs w:val="33"/>
        </w:rPr>
        <w:t>万元，其中</w:t>
      </w:r>
      <w:r>
        <w:rPr>
          <w:rFonts w:hint="eastAsia" w:eastAsia="方正仿宋_GBK" w:cs="Times New Roman"/>
          <w:color w:val="000000"/>
          <w:sz w:val="33"/>
          <w:szCs w:val="33"/>
          <w:lang w:eastAsia="zh-CN"/>
        </w:rPr>
        <w:t>：</w:t>
      </w:r>
      <w:r>
        <w:rPr>
          <w:rFonts w:hint="eastAsia" w:ascii="Times New Roman" w:hAnsi="Times New Roman" w:eastAsia="方正仿宋_GBK" w:cs="Times New Roman"/>
          <w:color w:val="000000"/>
          <w:sz w:val="33"/>
          <w:szCs w:val="33"/>
        </w:rPr>
        <w:t>一般公共预算财政拨款收入</w:t>
      </w:r>
      <w:r>
        <w:rPr>
          <w:rFonts w:hint="eastAsia" w:eastAsia="方正仿宋_GBK" w:cs="Times New Roman"/>
          <w:color w:val="000000"/>
          <w:sz w:val="33"/>
          <w:szCs w:val="33"/>
          <w:lang w:val="en-US" w:eastAsia="zh-CN"/>
        </w:rPr>
        <w:t>1305.9</w:t>
      </w:r>
      <w:r>
        <w:rPr>
          <w:rFonts w:hint="eastAsia" w:ascii="Times New Roman" w:hAnsi="Times New Roman" w:eastAsia="方正仿宋_GBK" w:cs="Times New Roman"/>
          <w:color w:val="000000"/>
          <w:sz w:val="33"/>
          <w:szCs w:val="33"/>
        </w:rPr>
        <w:t>万元，占</w:t>
      </w:r>
      <w:r>
        <w:rPr>
          <w:rFonts w:hint="eastAsia" w:ascii="Times New Roman" w:hAnsi="Times New Roman" w:eastAsia="方正仿宋_GBK" w:cs="Times New Roman"/>
          <w:color w:val="000000"/>
          <w:sz w:val="33"/>
          <w:szCs w:val="33"/>
          <w:lang w:val="en-US" w:eastAsia="zh-CN"/>
        </w:rPr>
        <w:t>100</w:t>
      </w:r>
      <w:r>
        <w:rPr>
          <w:rFonts w:hint="default"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lang w:eastAsia="zh-CN"/>
        </w:rPr>
        <w:t>。</w:t>
      </w:r>
    </w:p>
    <w:p w14:paraId="616941B2">
      <w:pPr>
        <w:spacing w:line="600" w:lineRule="exact"/>
        <w:ind w:firstLine="640" w:firstLineChars="200"/>
        <w:outlineLvl w:val="9"/>
        <w:rPr>
          <w:rFonts w:ascii="仿宋_GB2312" w:eastAsia="仿宋_GB2312"/>
          <w:color w:val="FF0000"/>
          <w:sz w:val="32"/>
          <w:szCs w:val="32"/>
        </w:rPr>
      </w:pPr>
      <w:r>
        <w:rPr>
          <w:rFonts w:hint="default" w:ascii="仿宋" w:hAnsi="仿宋" w:eastAsia="仿宋"/>
          <w:color w:val="000000"/>
          <w:sz w:val="32"/>
          <w:szCs w:val="32"/>
          <w:lang w:val="en-US"/>
        </w:rPr>
        <w:t xml:space="preserve">       </w:t>
      </w:r>
      <w:r>
        <w:rPr>
          <w:rFonts w:hint="eastAsia" w:ascii="仿宋" w:hAnsi="仿宋" w:eastAsia="仿宋"/>
          <w:color w:val="000000" w:themeColor="text1"/>
          <w:sz w:val="32"/>
          <w:szCs w:val="32"/>
          <w14:textFill>
            <w14:solidFill>
              <w14:schemeClr w14:val="tx1"/>
            </w14:solidFill>
          </w14:textFill>
        </w:rPr>
        <w:t>（图2：收入决算结构图）（饼状图）</w:t>
      </w:r>
    </w:p>
    <w:p w14:paraId="124156FD">
      <w:pPr>
        <w:pStyle w:val="31"/>
        <w:numPr>
          <w:ilvl w:val="0"/>
          <w:numId w:val="2"/>
        </w:numPr>
        <w:spacing w:line="600" w:lineRule="exact"/>
        <w:ind w:firstLineChars="0"/>
        <w:outlineLvl w:val="1"/>
        <w:rPr>
          <w:rFonts w:hint="eastAsia" w:ascii="方正黑体_GBK" w:hAnsi="方正黑体_GBK" w:eastAsia="方正黑体_GBK" w:cs="方正黑体_GBK"/>
          <w:color w:val="000000"/>
          <w:sz w:val="33"/>
          <w:szCs w:val="33"/>
        </w:rPr>
      </w:pPr>
      <w:bookmarkStart w:id="28" w:name="_Toc15396605"/>
      <w:bookmarkStart w:id="29" w:name="_Toc1004602914"/>
      <w:bookmarkStart w:id="30" w:name="_Toc15377207"/>
      <w:r>
        <w:rPr>
          <w:rFonts w:hint="eastAsia" w:ascii="方正黑体_GBK" w:hAnsi="方正黑体_GBK" w:eastAsia="方正黑体_GBK" w:cs="方正黑体_GBK"/>
          <w:color w:val="000000"/>
          <w:sz w:val="33"/>
          <w:szCs w:val="33"/>
        </w:rPr>
        <w:t>支出决算情况说明</w:t>
      </w:r>
      <w:bookmarkEnd w:id="28"/>
      <w:bookmarkEnd w:id="29"/>
      <w:bookmarkEnd w:id="30"/>
    </w:p>
    <w:p w14:paraId="3CC384E3">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color w:val="000000"/>
          <w:sz w:val="33"/>
          <w:szCs w:val="33"/>
          <w:lang w:eastAsia="zh-CN"/>
        </w:rPr>
      </w:pPr>
      <w:r>
        <w:rPr>
          <w:rFonts w:hint="eastAsia" w:eastAsia="方正仿宋_GBK" w:cs="Times New Roman"/>
          <w:color w:val="000000"/>
          <w:sz w:val="33"/>
          <w:szCs w:val="33"/>
          <w:lang w:eastAsia="zh-CN"/>
        </w:rPr>
        <w:t>2024年度</w:t>
      </w:r>
      <w:r>
        <w:rPr>
          <w:rFonts w:hint="eastAsia" w:ascii="Times New Roman" w:hAnsi="Times New Roman" w:eastAsia="方正仿宋_GBK" w:cs="Times New Roman"/>
          <w:color w:val="000000"/>
          <w:sz w:val="33"/>
          <w:szCs w:val="33"/>
        </w:rPr>
        <w:t>本</w:t>
      </w:r>
      <w:r>
        <w:rPr>
          <w:rFonts w:hint="eastAsia" w:eastAsia="方正仿宋_GBK" w:cs="Times New Roman"/>
          <w:color w:val="000000"/>
          <w:sz w:val="33"/>
          <w:szCs w:val="33"/>
          <w:lang w:eastAsia="zh-CN"/>
        </w:rPr>
        <w:t>年度</w:t>
      </w:r>
      <w:r>
        <w:rPr>
          <w:rFonts w:hint="eastAsia" w:ascii="Times New Roman" w:hAnsi="Times New Roman" w:eastAsia="方正仿宋_GBK" w:cs="Times New Roman"/>
          <w:color w:val="000000"/>
          <w:sz w:val="33"/>
          <w:szCs w:val="33"/>
        </w:rPr>
        <w:t>支出合计</w:t>
      </w:r>
      <w:r>
        <w:rPr>
          <w:rFonts w:hint="eastAsia" w:eastAsia="方正仿宋_GBK" w:cs="Times New Roman"/>
          <w:color w:val="000000"/>
          <w:sz w:val="33"/>
          <w:szCs w:val="33"/>
          <w:lang w:val="en-US" w:eastAsia="zh-CN"/>
        </w:rPr>
        <w:t>1305.9</w:t>
      </w:r>
      <w:r>
        <w:rPr>
          <w:rFonts w:hint="eastAsia" w:ascii="Times New Roman" w:hAnsi="Times New Roman" w:eastAsia="方正仿宋_GBK" w:cs="Times New Roman"/>
          <w:color w:val="000000"/>
          <w:sz w:val="33"/>
          <w:szCs w:val="33"/>
        </w:rPr>
        <w:t>万元，其中：基本支出</w:t>
      </w:r>
      <w:r>
        <w:rPr>
          <w:rFonts w:hint="eastAsia" w:eastAsia="方正仿宋_GBK" w:cs="Times New Roman"/>
          <w:color w:val="000000"/>
          <w:sz w:val="33"/>
          <w:szCs w:val="33"/>
          <w:lang w:val="en-US" w:eastAsia="zh-CN"/>
        </w:rPr>
        <w:t>1142.29</w:t>
      </w:r>
      <w:r>
        <w:rPr>
          <w:rFonts w:hint="eastAsia" w:ascii="Times New Roman" w:hAnsi="Times New Roman" w:eastAsia="方正仿宋_GBK" w:cs="Times New Roman"/>
          <w:color w:val="000000"/>
          <w:sz w:val="33"/>
          <w:szCs w:val="33"/>
        </w:rPr>
        <w:t>万元，占</w:t>
      </w:r>
      <w:r>
        <w:rPr>
          <w:rFonts w:hint="eastAsia" w:eastAsia="方正仿宋_GBK" w:cs="Times New Roman"/>
          <w:color w:val="000000"/>
          <w:sz w:val="33"/>
          <w:szCs w:val="33"/>
          <w:lang w:val="en-US" w:eastAsia="zh-CN"/>
        </w:rPr>
        <w:t>87.5</w:t>
      </w:r>
      <w:r>
        <w:rPr>
          <w:rFonts w:hint="default"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rPr>
        <w:t>；项目支出</w:t>
      </w:r>
      <w:r>
        <w:rPr>
          <w:rFonts w:hint="eastAsia" w:eastAsia="方正仿宋_GBK" w:cs="Times New Roman"/>
          <w:color w:val="000000"/>
          <w:sz w:val="33"/>
          <w:szCs w:val="33"/>
          <w:lang w:val="en-US" w:eastAsia="zh-CN"/>
        </w:rPr>
        <w:t>163.61</w:t>
      </w:r>
      <w:r>
        <w:rPr>
          <w:rFonts w:hint="eastAsia" w:ascii="Times New Roman" w:hAnsi="Times New Roman" w:eastAsia="方正仿宋_GBK" w:cs="Times New Roman"/>
          <w:color w:val="000000"/>
          <w:sz w:val="33"/>
          <w:szCs w:val="33"/>
        </w:rPr>
        <w:t>万元，占</w:t>
      </w:r>
      <w:r>
        <w:rPr>
          <w:rFonts w:hint="eastAsia" w:eastAsia="方正仿宋_GBK" w:cs="Times New Roman"/>
          <w:color w:val="000000"/>
          <w:sz w:val="33"/>
          <w:szCs w:val="33"/>
          <w:lang w:val="en-US" w:eastAsia="zh-CN"/>
        </w:rPr>
        <w:t>12.5</w:t>
      </w:r>
      <w:r>
        <w:rPr>
          <w:rFonts w:hint="default"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lang w:eastAsia="zh-CN"/>
        </w:rPr>
        <w:t>。</w:t>
      </w:r>
    </w:p>
    <w:p w14:paraId="349D11FA">
      <w:pPr>
        <w:pStyle w:val="23"/>
        <w:rPr>
          <w:rFonts w:hint="default"/>
          <w:lang w:val="en-US"/>
        </w:rPr>
      </w:pPr>
      <w:r>
        <w:rPr>
          <w:rFonts w:hint="default"/>
          <w:lang w:val="en-US" w:eastAsia="zh-CN"/>
        </w:rPr>
        <w:t xml:space="preserve">     </w:t>
      </w:r>
      <w:r>
        <w:rPr>
          <w:rFonts w:hint="default"/>
          <w:lang w:val="en-US"/>
        </w:rPr>
        <w:t xml:space="preserve">       </w:t>
      </w:r>
      <w:r>
        <w:drawing>
          <wp:inline distT="0" distB="0" distL="114300" distR="114300">
            <wp:extent cx="3347085" cy="2014855"/>
            <wp:effectExtent l="4445" t="4445" r="16510" b="762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default"/>
          <w:lang w:val="en-US"/>
        </w:rPr>
        <w:t xml:space="preserve">   </w:t>
      </w:r>
    </w:p>
    <w:p w14:paraId="64C66852">
      <w:pPr>
        <w:pStyle w:val="23"/>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14:paraId="32E466FB">
      <w:pPr>
        <w:pStyle w:val="31"/>
        <w:numPr>
          <w:ilvl w:val="0"/>
          <w:numId w:val="0"/>
        </w:numPr>
        <w:spacing w:line="600" w:lineRule="exact"/>
        <w:ind w:left="640" w:leftChars="0"/>
        <w:outlineLvl w:val="1"/>
        <w:rPr>
          <w:rFonts w:hint="eastAsia" w:ascii="方正黑体_GBK" w:hAnsi="方正黑体_GBK" w:eastAsia="方正黑体_GBK" w:cs="方正黑体_GBK"/>
          <w:color w:val="000000"/>
          <w:sz w:val="33"/>
          <w:szCs w:val="33"/>
        </w:rPr>
      </w:pPr>
      <w:bookmarkStart w:id="31" w:name="_Toc15377208"/>
      <w:bookmarkStart w:id="32" w:name="_Toc1958202550"/>
      <w:bookmarkStart w:id="33" w:name="_Toc15396606"/>
      <w:r>
        <w:rPr>
          <w:rFonts w:hint="eastAsia" w:ascii="方正黑体_GBK" w:hAnsi="方正黑体_GBK" w:eastAsia="方正黑体_GBK" w:cs="方正黑体_GBK"/>
          <w:color w:val="000000"/>
          <w:sz w:val="33"/>
          <w:szCs w:val="33"/>
        </w:rPr>
        <w:t>四、财政拨款收入支出决算总体情况说明</w:t>
      </w:r>
      <w:bookmarkEnd w:id="31"/>
      <w:bookmarkEnd w:id="32"/>
      <w:bookmarkEnd w:id="33"/>
    </w:p>
    <w:p w14:paraId="4673D8A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ascii="Times New Roman" w:hAnsi="Times New Roman" w:eastAsia="方正仿宋_GBK" w:cs="Times New Roman"/>
          <w:color w:val="000000"/>
          <w:sz w:val="33"/>
          <w:szCs w:val="33"/>
        </w:rPr>
      </w:pPr>
      <w:r>
        <w:drawing>
          <wp:anchor distT="0" distB="0" distL="114300" distR="114300" simplePos="0" relativeHeight="251662336" behindDoc="0" locked="0" layoutInCell="1" allowOverlap="1">
            <wp:simplePos x="0" y="0"/>
            <wp:positionH relativeFrom="column">
              <wp:posOffset>1113155</wp:posOffset>
            </wp:positionH>
            <wp:positionV relativeFrom="paragraph">
              <wp:posOffset>2355850</wp:posOffset>
            </wp:positionV>
            <wp:extent cx="3840480" cy="1883410"/>
            <wp:effectExtent l="5080" t="4445" r="10160" b="17145"/>
            <wp:wrapTopAndBottom/>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eastAsia="方正仿宋_GBK" w:cs="Times New Roman"/>
          <w:color w:val="000000"/>
          <w:sz w:val="33"/>
          <w:szCs w:val="33"/>
          <w:lang w:eastAsia="zh-CN"/>
        </w:rPr>
        <w:t>2024年度财政拨款</w:t>
      </w:r>
      <w:r>
        <w:rPr>
          <w:rFonts w:hint="eastAsia" w:ascii="Times New Roman" w:hAnsi="Times New Roman" w:eastAsia="方正仿宋_GBK" w:cs="Times New Roman"/>
          <w:color w:val="000000"/>
          <w:sz w:val="33"/>
          <w:szCs w:val="33"/>
        </w:rPr>
        <w:t>收</w:t>
      </w:r>
      <w:r>
        <w:rPr>
          <w:rFonts w:hint="eastAsia" w:ascii="Times New Roman" w:hAnsi="Times New Roman" w:eastAsia="方正仿宋_GBK" w:cs="Times New Roman"/>
          <w:color w:val="000000"/>
          <w:sz w:val="33"/>
          <w:szCs w:val="33"/>
          <w:lang w:eastAsia="zh-CN"/>
        </w:rPr>
        <w:t>入</w:t>
      </w:r>
      <w:r>
        <w:rPr>
          <w:rFonts w:hint="default" w:ascii="Times New Roman" w:hAnsi="Times New Roman" w:eastAsia="方正仿宋_GBK" w:cs="Times New Roman"/>
          <w:color w:val="000000"/>
          <w:sz w:val="33"/>
          <w:szCs w:val="33"/>
        </w:rPr>
        <w:t>总计</w:t>
      </w:r>
      <w:r>
        <w:rPr>
          <w:rFonts w:hint="eastAsia" w:eastAsia="方正仿宋_GBK" w:cs="Times New Roman"/>
          <w:color w:val="000000"/>
          <w:sz w:val="33"/>
          <w:szCs w:val="33"/>
          <w:lang w:val="en-US" w:eastAsia="zh-CN"/>
        </w:rPr>
        <w:t>1305.9</w:t>
      </w:r>
      <w:r>
        <w:rPr>
          <w:rFonts w:hint="default" w:ascii="Times New Roman" w:hAnsi="Times New Roman" w:eastAsia="方正仿宋_GBK" w:cs="Times New Roman"/>
          <w:color w:val="000000"/>
          <w:sz w:val="33"/>
          <w:szCs w:val="33"/>
          <w:lang w:eastAsia="zh-CN"/>
        </w:rPr>
        <w:t>万元，财政拨款</w:t>
      </w:r>
      <w:r>
        <w:rPr>
          <w:rFonts w:hint="eastAsia" w:ascii="Times New Roman" w:hAnsi="Times New Roman" w:eastAsia="方正仿宋_GBK" w:cs="Times New Roman"/>
          <w:color w:val="000000"/>
          <w:sz w:val="33"/>
          <w:szCs w:val="33"/>
          <w:lang w:eastAsia="zh-CN"/>
        </w:rPr>
        <w:t>支出</w:t>
      </w:r>
      <w:r>
        <w:rPr>
          <w:rFonts w:hint="default" w:ascii="Times New Roman" w:hAnsi="Times New Roman" w:eastAsia="方正仿宋_GBK" w:cs="Times New Roman"/>
          <w:color w:val="000000"/>
          <w:sz w:val="33"/>
          <w:szCs w:val="33"/>
          <w:lang w:eastAsia="zh-CN"/>
        </w:rPr>
        <w:t>总计</w:t>
      </w:r>
      <w:r>
        <w:rPr>
          <w:rFonts w:hint="eastAsia" w:eastAsia="方正仿宋_GBK" w:cs="Times New Roman"/>
          <w:color w:val="000000"/>
          <w:sz w:val="33"/>
          <w:szCs w:val="33"/>
          <w:lang w:val="en-US" w:eastAsia="zh-CN"/>
        </w:rPr>
        <w:t>1305.9</w:t>
      </w:r>
      <w:r>
        <w:rPr>
          <w:rFonts w:hint="default" w:ascii="Times New Roman" w:hAnsi="Times New Roman" w:eastAsia="方正仿宋_GBK" w:cs="Times New Roman"/>
          <w:color w:val="000000"/>
          <w:sz w:val="33"/>
          <w:szCs w:val="33"/>
        </w:rPr>
        <w:t>万元。与</w:t>
      </w:r>
      <w:r>
        <w:rPr>
          <w:rFonts w:hint="eastAsia" w:eastAsia="方正仿宋_GBK" w:cs="Times New Roman"/>
          <w:color w:val="000000"/>
          <w:sz w:val="33"/>
          <w:szCs w:val="33"/>
          <w:lang w:eastAsia="zh-CN"/>
        </w:rPr>
        <w:t>2023年度财政拨款</w:t>
      </w:r>
      <w:r>
        <w:rPr>
          <w:rFonts w:hint="eastAsia" w:ascii="Times New Roman" w:hAnsi="Times New Roman" w:eastAsia="方正仿宋_GBK" w:cs="Times New Roman"/>
          <w:color w:val="000000"/>
          <w:sz w:val="33"/>
          <w:szCs w:val="33"/>
        </w:rPr>
        <w:t>收</w:t>
      </w:r>
      <w:r>
        <w:rPr>
          <w:rFonts w:hint="eastAsia" w:ascii="Times New Roman" w:hAnsi="Times New Roman" w:eastAsia="方正仿宋_GBK" w:cs="Times New Roman"/>
          <w:color w:val="000000"/>
          <w:sz w:val="33"/>
          <w:szCs w:val="33"/>
          <w:lang w:eastAsia="zh-CN"/>
        </w:rPr>
        <w:t>入</w:t>
      </w:r>
      <w:r>
        <w:rPr>
          <w:rFonts w:hint="eastAsia" w:eastAsia="方正仿宋_GBK" w:cs="Times New Roman"/>
          <w:color w:val="000000"/>
          <w:sz w:val="33"/>
          <w:szCs w:val="33"/>
          <w:lang w:val="en-US" w:eastAsia="zh-CN"/>
        </w:rPr>
        <w:t>1235.99万元</w:t>
      </w:r>
      <w:r>
        <w:rPr>
          <w:rFonts w:hint="eastAsia" w:ascii="Times New Roman" w:hAnsi="Times New Roman" w:eastAsia="方正仿宋_GBK" w:cs="Times New Roman"/>
          <w:color w:val="000000"/>
          <w:sz w:val="33"/>
          <w:szCs w:val="33"/>
        </w:rPr>
        <w:t>相比</w:t>
      </w:r>
      <w:r>
        <w:rPr>
          <w:rFonts w:hint="default" w:ascii="Times New Roman" w:hAnsi="Times New Roman" w:eastAsia="方正仿宋_GBK" w:cs="Times New Roman"/>
          <w:color w:val="000000"/>
          <w:sz w:val="33"/>
          <w:szCs w:val="33"/>
        </w:rPr>
        <w:t>，</w:t>
      </w:r>
      <w:r>
        <w:rPr>
          <w:rFonts w:hint="eastAsia" w:eastAsia="方正仿宋_GBK" w:cs="Times New Roman"/>
          <w:color w:val="000000"/>
          <w:sz w:val="33"/>
          <w:szCs w:val="33"/>
          <w:lang w:eastAsia="zh-CN"/>
        </w:rPr>
        <w:t>2024年度财政拨款</w:t>
      </w:r>
      <w:r>
        <w:rPr>
          <w:rFonts w:hint="default" w:ascii="Times New Roman" w:hAnsi="Times New Roman" w:eastAsia="方正仿宋_GBK" w:cs="Times New Roman"/>
          <w:color w:val="000000"/>
          <w:sz w:val="33"/>
          <w:szCs w:val="33"/>
        </w:rPr>
        <w:t>收</w:t>
      </w:r>
      <w:r>
        <w:rPr>
          <w:rFonts w:hint="default" w:ascii="Times New Roman" w:hAnsi="Times New Roman" w:eastAsia="方正仿宋_GBK" w:cs="Times New Roman"/>
          <w:color w:val="000000"/>
          <w:sz w:val="33"/>
          <w:szCs w:val="33"/>
          <w:lang w:eastAsia="zh-CN"/>
        </w:rPr>
        <w:t>入</w:t>
      </w:r>
      <w:r>
        <w:rPr>
          <w:rFonts w:hint="eastAsia" w:eastAsia="方正仿宋_GBK" w:cs="Times New Roman"/>
          <w:color w:val="000000"/>
          <w:sz w:val="33"/>
          <w:szCs w:val="33"/>
          <w:lang w:eastAsia="zh-CN"/>
        </w:rPr>
        <w:t>增加</w:t>
      </w:r>
      <w:r>
        <w:rPr>
          <w:rFonts w:hint="eastAsia" w:eastAsia="方正仿宋_GBK" w:cs="Times New Roman"/>
          <w:color w:val="000000"/>
          <w:sz w:val="33"/>
          <w:szCs w:val="33"/>
          <w:lang w:val="en-US" w:eastAsia="zh-CN"/>
        </w:rPr>
        <w:t>69.91</w:t>
      </w:r>
      <w:r>
        <w:rPr>
          <w:rFonts w:hint="default" w:ascii="Times New Roman" w:hAnsi="Times New Roman" w:eastAsia="方正仿宋_GBK" w:cs="Times New Roman"/>
          <w:color w:val="000000"/>
          <w:sz w:val="33"/>
          <w:szCs w:val="33"/>
          <w:lang w:eastAsia="zh-CN"/>
        </w:rPr>
        <w:t>万元</w:t>
      </w:r>
      <w:r>
        <w:rPr>
          <w:rFonts w:hint="default" w:ascii="Times New Roman" w:hAnsi="Times New Roman" w:eastAsia="方正仿宋_GBK" w:cs="Times New Roman"/>
          <w:color w:val="000000"/>
          <w:sz w:val="33"/>
          <w:szCs w:val="33"/>
        </w:rPr>
        <w:t>，</w:t>
      </w:r>
      <w:r>
        <w:rPr>
          <w:rFonts w:hint="eastAsia" w:eastAsia="方正仿宋_GBK" w:cs="Times New Roman"/>
          <w:color w:val="000000"/>
          <w:sz w:val="33"/>
          <w:szCs w:val="33"/>
          <w:lang w:eastAsia="zh-CN"/>
        </w:rPr>
        <w:t>上升</w:t>
      </w:r>
      <w:r>
        <w:rPr>
          <w:rFonts w:hint="eastAsia" w:eastAsia="方正仿宋_GBK" w:cs="Times New Roman"/>
          <w:color w:val="000000"/>
          <w:sz w:val="33"/>
          <w:szCs w:val="33"/>
          <w:lang w:val="en-US" w:eastAsia="zh-CN"/>
        </w:rPr>
        <w:t>5.7%</w:t>
      </w:r>
      <w:r>
        <w:rPr>
          <w:rFonts w:hint="eastAsia"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与</w:t>
      </w:r>
      <w:r>
        <w:rPr>
          <w:rFonts w:hint="eastAsia" w:eastAsia="方正仿宋_GBK" w:cs="Times New Roman"/>
          <w:color w:val="000000"/>
          <w:sz w:val="33"/>
          <w:szCs w:val="33"/>
          <w:lang w:eastAsia="zh-CN"/>
        </w:rPr>
        <w:t>2023年度财政拨款</w:t>
      </w:r>
      <w:r>
        <w:rPr>
          <w:rFonts w:hint="default" w:ascii="Times New Roman" w:hAnsi="Times New Roman" w:eastAsia="方正仿宋_GBK" w:cs="Times New Roman"/>
          <w:color w:val="000000"/>
          <w:sz w:val="33"/>
          <w:szCs w:val="33"/>
          <w:lang w:eastAsia="zh-CN"/>
        </w:rPr>
        <w:t>支出</w:t>
      </w:r>
      <w:r>
        <w:rPr>
          <w:rFonts w:hint="eastAsia" w:eastAsia="方正仿宋_GBK" w:cs="Times New Roman"/>
          <w:color w:val="000000"/>
          <w:sz w:val="33"/>
          <w:szCs w:val="33"/>
          <w:lang w:val="en-US" w:eastAsia="zh-CN"/>
        </w:rPr>
        <w:t>1235.99万元</w:t>
      </w:r>
      <w:r>
        <w:rPr>
          <w:rFonts w:hint="eastAsia" w:ascii="Times New Roman" w:hAnsi="Times New Roman" w:eastAsia="方正仿宋_GBK" w:cs="Times New Roman"/>
          <w:color w:val="000000"/>
          <w:sz w:val="33"/>
          <w:szCs w:val="33"/>
        </w:rPr>
        <w:t>相比</w:t>
      </w:r>
      <w:r>
        <w:rPr>
          <w:rFonts w:hint="eastAsia" w:eastAsia="方正仿宋_GBK" w:cs="Times New Roman"/>
          <w:color w:val="000000"/>
          <w:sz w:val="33"/>
          <w:szCs w:val="33"/>
          <w:lang w:eastAsia="zh-CN"/>
        </w:rPr>
        <w:t>，2024年度财政拨款</w:t>
      </w:r>
      <w:r>
        <w:rPr>
          <w:rFonts w:hint="default" w:ascii="Times New Roman" w:hAnsi="Times New Roman" w:eastAsia="方正仿宋_GBK" w:cs="Times New Roman"/>
          <w:color w:val="000000"/>
          <w:sz w:val="33"/>
          <w:szCs w:val="33"/>
          <w:lang w:eastAsia="zh-CN"/>
        </w:rPr>
        <w:t>支出</w:t>
      </w:r>
      <w:r>
        <w:rPr>
          <w:rFonts w:hint="eastAsia" w:eastAsia="方正仿宋_GBK" w:cs="Times New Roman"/>
          <w:color w:val="000000"/>
          <w:sz w:val="33"/>
          <w:szCs w:val="33"/>
          <w:lang w:eastAsia="zh-CN"/>
        </w:rPr>
        <w:t>增加</w:t>
      </w:r>
      <w:r>
        <w:rPr>
          <w:rFonts w:hint="eastAsia" w:eastAsia="方正仿宋_GBK" w:cs="Times New Roman"/>
          <w:color w:val="000000"/>
          <w:sz w:val="33"/>
          <w:szCs w:val="33"/>
          <w:lang w:val="en-US" w:eastAsia="zh-CN"/>
        </w:rPr>
        <w:t>69.91</w:t>
      </w:r>
      <w:r>
        <w:rPr>
          <w:rFonts w:hint="default" w:ascii="Times New Roman" w:hAnsi="Times New Roman" w:eastAsia="方正仿宋_GBK" w:cs="Times New Roman"/>
          <w:color w:val="000000"/>
          <w:sz w:val="33"/>
          <w:szCs w:val="33"/>
          <w:lang w:eastAsia="zh-CN"/>
        </w:rPr>
        <w:t>万元</w:t>
      </w:r>
      <w:r>
        <w:rPr>
          <w:rFonts w:hint="default" w:ascii="Times New Roman" w:hAnsi="Times New Roman" w:eastAsia="方正仿宋_GBK" w:cs="Times New Roman"/>
          <w:color w:val="000000"/>
          <w:sz w:val="33"/>
          <w:szCs w:val="33"/>
        </w:rPr>
        <w:t>，</w:t>
      </w:r>
      <w:r>
        <w:rPr>
          <w:rFonts w:hint="eastAsia" w:eastAsia="方正仿宋_GBK" w:cs="Times New Roman"/>
          <w:color w:val="000000"/>
          <w:sz w:val="33"/>
          <w:szCs w:val="33"/>
          <w:lang w:eastAsia="zh-CN"/>
        </w:rPr>
        <w:t>上升</w:t>
      </w:r>
      <w:r>
        <w:rPr>
          <w:rFonts w:hint="eastAsia" w:eastAsia="方正仿宋_GBK" w:cs="Times New Roman"/>
          <w:color w:val="000000"/>
          <w:sz w:val="33"/>
          <w:szCs w:val="33"/>
          <w:lang w:val="en-US" w:eastAsia="zh-CN"/>
        </w:rPr>
        <w:t>5.7%</w:t>
      </w:r>
      <w:r>
        <w:rPr>
          <w:rFonts w:hint="eastAsia" w:eastAsia="方正仿宋_GBK" w:cs="Times New Roman"/>
          <w:color w:val="000000"/>
          <w:sz w:val="33"/>
          <w:szCs w:val="33"/>
          <w:lang w:eastAsia="zh-CN"/>
        </w:rPr>
        <w:t>，</w:t>
      </w:r>
      <w:r>
        <w:rPr>
          <w:rFonts w:hint="default" w:eastAsia="方正仿宋_GBK" w:cs="Times New Roman"/>
          <w:color w:val="000000"/>
          <w:sz w:val="33"/>
          <w:szCs w:val="33"/>
          <w:lang w:val="en-US" w:eastAsia="zh-CN"/>
        </w:rPr>
        <w:t>主要变动原因是</w:t>
      </w:r>
      <w:r>
        <w:rPr>
          <w:rFonts w:hint="eastAsia" w:eastAsia="方正仿宋_GBK" w:cs="Times New Roman"/>
          <w:color w:val="000000"/>
          <w:sz w:val="33"/>
          <w:szCs w:val="33"/>
          <w:lang w:val="en-US" w:eastAsia="zh-CN"/>
        </w:rPr>
        <w:t>基本工资标准调整</w:t>
      </w:r>
      <w:r>
        <w:rPr>
          <w:rFonts w:hint="default" w:eastAsia="方正仿宋_GBK" w:cs="Times New Roman"/>
          <w:color w:val="000000"/>
          <w:sz w:val="33"/>
          <w:szCs w:val="33"/>
          <w:lang w:val="en-US" w:eastAsia="zh-CN"/>
        </w:rPr>
        <w:t>。</w:t>
      </w:r>
    </w:p>
    <w:p w14:paraId="736ABC5B">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color w:val="000000"/>
          <w:sz w:val="33"/>
          <w:szCs w:val="33"/>
        </w:rPr>
      </w:pPr>
    </w:p>
    <w:p w14:paraId="45AB62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color w:val="00B050"/>
          <w:sz w:val="32"/>
          <w:szCs w:val="32"/>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14:paraId="05693901">
      <w:pPr>
        <w:pStyle w:val="31"/>
        <w:numPr>
          <w:ilvl w:val="0"/>
          <w:numId w:val="0"/>
        </w:numPr>
        <w:spacing w:line="600" w:lineRule="exact"/>
        <w:ind w:left="640" w:leftChars="0"/>
        <w:outlineLvl w:val="1"/>
        <w:rPr>
          <w:rFonts w:hint="eastAsia" w:ascii="方正黑体_GBK" w:hAnsi="方正黑体_GBK" w:eastAsia="方正黑体_GBK" w:cs="方正黑体_GBK"/>
          <w:color w:val="000000"/>
          <w:sz w:val="33"/>
          <w:szCs w:val="33"/>
        </w:rPr>
      </w:pPr>
      <w:bookmarkStart w:id="34" w:name="_Toc15377209"/>
      <w:bookmarkStart w:id="35" w:name="_Toc1246159504"/>
      <w:bookmarkStart w:id="36" w:name="_Toc15396607"/>
      <w:r>
        <w:rPr>
          <w:rFonts w:hint="eastAsia" w:ascii="方正黑体_GBK" w:hAnsi="方正黑体_GBK" w:eastAsia="方正黑体_GBK" w:cs="方正黑体_GBK"/>
          <w:color w:val="000000"/>
          <w:sz w:val="33"/>
          <w:szCs w:val="33"/>
        </w:rPr>
        <w:t>五、一般公共预算财政拨款支出决算情况说明</w:t>
      </w:r>
      <w:bookmarkEnd w:id="34"/>
      <w:bookmarkEnd w:id="35"/>
      <w:bookmarkEnd w:id="36"/>
    </w:p>
    <w:p w14:paraId="53E182C3">
      <w:pPr>
        <w:spacing w:line="600" w:lineRule="exact"/>
        <w:ind w:firstLine="663" w:firstLineChars="200"/>
        <w:outlineLvl w:val="2"/>
        <w:rPr>
          <w:rFonts w:hint="eastAsia" w:ascii="方正楷体_GBK" w:hAnsi="方正楷体_GBK" w:eastAsia="方正楷体_GBK" w:cs="方正楷体_GBK"/>
          <w:b/>
          <w:color w:val="000000"/>
          <w:sz w:val="33"/>
          <w:szCs w:val="33"/>
        </w:rPr>
      </w:pPr>
      <w:bookmarkStart w:id="37" w:name="_Toc15377210"/>
      <w:bookmarkStart w:id="38" w:name="_Toc1034454046"/>
      <w:r>
        <w:rPr>
          <w:rFonts w:hint="eastAsia" w:ascii="方正楷体_GBK" w:hAnsi="方正楷体_GBK" w:eastAsia="方正楷体_GBK" w:cs="方正楷体_GBK"/>
          <w:b/>
          <w:color w:val="000000"/>
          <w:sz w:val="33"/>
          <w:szCs w:val="33"/>
        </w:rPr>
        <w:t>（一）一般公共预算财政拨款支出决算总体情况</w:t>
      </w:r>
      <w:bookmarkEnd w:id="37"/>
      <w:bookmarkEnd w:id="38"/>
    </w:p>
    <w:p w14:paraId="3A3972AD">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eastAsia="方正仿宋_GBK" w:cs="Times New Roman"/>
          <w:color w:val="000000"/>
          <w:sz w:val="33"/>
          <w:szCs w:val="33"/>
          <w:lang w:val="en-US" w:eastAsia="zh-CN"/>
        </w:rPr>
      </w:pPr>
      <w:r>
        <w:rPr>
          <w:rFonts w:hint="eastAsia" w:eastAsia="方正仿宋_GBK" w:cs="Times New Roman"/>
          <w:color w:val="000000"/>
          <w:sz w:val="33"/>
          <w:szCs w:val="33"/>
          <w:lang w:eastAsia="zh-CN"/>
        </w:rPr>
        <w:t>2024年度</w:t>
      </w:r>
      <w:r>
        <w:rPr>
          <w:rFonts w:hint="eastAsia" w:ascii="Times New Roman" w:hAnsi="Times New Roman" w:eastAsia="方正仿宋_GBK" w:cs="Times New Roman"/>
          <w:color w:val="000000"/>
          <w:sz w:val="33"/>
          <w:szCs w:val="33"/>
        </w:rPr>
        <w:t>一般公共预算财政拨款支出</w:t>
      </w:r>
      <w:r>
        <w:rPr>
          <w:rFonts w:hint="eastAsia" w:eastAsia="方正仿宋_GBK" w:cs="Times New Roman"/>
          <w:color w:val="000000"/>
          <w:sz w:val="33"/>
          <w:szCs w:val="33"/>
          <w:lang w:val="en-US" w:eastAsia="zh-CN"/>
        </w:rPr>
        <w:t>1305.9</w:t>
      </w:r>
      <w:r>
        <w:rPr>
          <w:rFonts w:hint="eastAsia" w:ascii="Times New Roman" w:hAnsi="Times New Roman" w:eastAsia="方正仿宋_GBK" w:cs="Times New Roman"/>
          <w:color w:val="000000"/>
          <w:sz w:val="33"/>
          <w:szCs w:val="33"/>
        </w:rPr>
        <w:t>万元，占本</w:t>
      </w:r>
      <w:r>
        <w:rPr>
          <w:rFonts w:hint="eastAsia" w:eastAsia="方正仿宋_GBK" w:cs="Times New Roman"/>
          <w:color w:val="000000"/>
          <w:sz w:val="33"/>
          <w:szCs w:val="33"/>
          <w:lang w:eastAsia="zh-CN"/>
        </w:rPr>
        <w:t>年度</w:t>
      </w:r>
      <w:r>
        <w:rPr>
          <w:rFonts w:hint="eastAsia" w:ascii="Times New Roman" w:hAnsi="Times New Roman" w:eastAsia="方正仿宋_GBK" w:cs="Times New Roman"/>
          <w:color w:val="000000"/>
          <w:sz w:val="33"/>
          <w:szCs w:val="33"/>
        </w:rPr>
        <w:t>支出合计的</w:t>
      </w:r>
      <w:r>
        <w:rPr>
          <w:rFonts w:hint="eastAsia" w:eastAsia="方正仿宋_GBK" w:cs="Times New Roman"/>
          <w:color w:val="000000"/>
          <w:sz w:val="33"/>
          <w:szCs w:val="33"/>
          <w:lang w:val="en-US" w:eastAsia="zh-CN"/>
        </w:rPr>
        <w:t>100</w:t>
      </w:r>
      <w:r>
        <w:rPr>
          <w:rFonts w:hint="default"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rPr>
        <w:t>。与</w:t>
      </w:r>
      <w:r>
        <w:rPr>
          <w:rFonts w:hint="eastAsia" w:eastAsia="方正仿宋_GBK" w:cs="Times New Roman"/>
          <w:color w:val="000000"/>
          <w:sz w:val="33"/>
          <w:szCs w:val="33"/>
          <w:lang w:eastAsia="zh-CN"/>
        </w:rPr>
        <w:t>2023年度</w:t>
      </w:r>
      <w:r>
        <w:rPr>
          <w:rFonts w:hint="eastAsia" w:eastAsia="方正仿宋_GBK" w:cs="Times New Roman"/>
          <w:color w:val="000000"/>
          <w:sz w:val="33"/>
          <w:szCs w:val="33"/>
          <w:lang w:val="en-US" w:eastAsia="zh-CN"/>
        </w:rPr>
        <w:t>1235.99</w:t>
      </w:r>
      <w:r>
        <w:rPr>
          <w:rFonts w:hint="eastAsia" w:ascii="Times New Roman" w:hAnsi="Times New Roman" w:eastAsia="方正仿宋_GBK" w:cs="Times New Roman"/>
          <w:color w:val="000000"/>
          <w:sz w:val="33"/>
          <w:szCs w:val="33"/>
        </w:rPr>
        <w:t>万元相比，一般公共预算财政拨款</w:t>
      </w:r>
      <w:r>
        <w:rPr>
          <w:rFonts w:hint="eastAsia" w:eastAsia="方正仿宋_GBK" w:cs="Times New Roman"/>
          <w:color w:val="000000"/>
          <w:sz w:val="33"/>
          <w:szCs w:val="33"/>
          <w:lang w:eastAsia="zh-CN"/>
        </w:rPr>
        <w:t>增加</w:t>
      </w:r>
      <w:r>
        <w:rPr>
          <w:rFonts w:hint="eastAsia" w:eastAsia="方正仿宋_GBK" w:cs="Times New Roman"/>
          <w:color w:val="000000"/>
          <w:sz w:val="33"/>
          <w:szCs w:val="33"/>
          <w:lang w:val="en-US" w:eastAsia="zh-CN"/>
        </w:rPr>
        <w:t>69.91</w:t>
      </w:r>
      <w:r>
        <w:rPr>
          <w:rFonts w:hint="eastAsia" w:ascii="Times New Roman" w:hAnsi="Times New Roman" w:eastAsia="方正仿宋_GBK" w:cs="Times New Roman"/>
          <w:color w:val="000000"/>
          <w:sz w:val="33"/>
          <w:szCs w:val="33"/>
        </w:rPr>
        <w:t>万元，</w:t>
      </w:r>
      <w:r>
        <w:rPr>
          <w:rFonts w:hint="eastAsia" w:eastAsia="方正仿宋_GBK" w:cs="Times New Roman"/>
          <w:color w:val="000000"/>
          <w:sz w:val="33"/>
          <w:szCs w:val="33"/>
          <w:lang w:eastAsia="zh-CN"/>
        </w:rPr>
        <w:t>上升</w:t>
      </w:r>
      <w:r>
        <w:rPr>
          <w:rFonts w:hint="eastAsia" w:eastAsia="方正仿宋_GBK" w:cs="Times New Roman"/>
          <w:color w:val="000000"/>
          <w:sz w:val="33"/>
          <w:szCs w:val="33"/>
          <w:lang w:val="en-US" w:eastAsia="zh-CN"/>
        </w:rPr>
        <w:t>5.7%</w:t>
      </w:r>
      <w:r>
        <w:rPr>
          <w:rFonts w:hint="eastAsia" w:eastAsia="方正仿宋_GBK" w:cs="Times New Roman"/>
          <w:color w:val="000000"/>
          <w:sz w:val="33"/>
          <w:szCs w:val="33"/>
          <w:lang w:eastAsia="zh-CN"/>
        </w:rPr>
        <w:t>，</w:t>
      </w:r>
      <w:r>
        <w:rPr>
          <w:rFonts w:hint="default" w:eastAsia="方正仿宋_GBK" w:cs="Times New Roman"/>
          <w:color w:val="000000"/>
          <w:sz w:val="33"/>
          <w:szCs w:val="33"/>
          <w:lang w:val="en-US" w:eastAsia="zh-CN"/>
        </w:rPr>
        <w:t>主要变动原因是</w:t>
      </w:r>
      <w:r>
        <w:rPr>
          <w:rFonts w:hint="eastAsia" w:eastAsia="方正仿宋_GBK" w:cs="Times New Roman"/>
          <w:color w:val="000000"/>
          <w:sz w:val="33"/>
          <w:szCs w:val="33"/>
          <w:lang w:val="en-US" w:eastAsia="zh-CN"/>
        </w:rPr>
        <w:t>基本工资标准调整</w:t>
      </w:r>
      <w:r>
        <w:rPr>
          <w:rFonts w:hint="default" w:eastAsia="方正仿宋_GBK" w:cs="Times New Roman"/>
          <w:color w:val="000000"/>
          <w:sz w:val="33"/>
          <w:szCs w:val="33"/>
          <w:lang w:val="en-US" w:eastAsia="zh-CN"/>
        </w:rPr>
        <w:t>。</w:t>
      </w:r>
    </w:p>
    <w:p w14:paraId="222BDDBA">
      <w:pPr>
        <w:pStyle w:val="2"/>
        <w:jc w:val="center"/>
        <w:rPr>
          <w:rFonts w:hint="eastAsia"/>
          <w:lang w:val="en-US" w:eastAsia="zh-CN"/>
        </w:rPr>
      </w:pPr>
      <w:r>
        <w:drawing>
          <wp:inline distT="0" distB="0" distL="114300" distR="114300">
            <wp:extent cx="4035425" cy="2016760"/>
            <wp:effectExtent l="5080" t="4445" r="13335" b="5715"/>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417E1C">
      <w:pPr>
        <w:pStyle w:val="23"/>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lang w:val="en-US" w:eastAsia="zh-CN"/>
        </w:rPr>
        <w:t xml:space="preserve">  </w:t>
      </w: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14:paraId="21248EDE">
      <w:pPr>
        <w:spacing w:line="600" w:lineRule="exact"/>
        <w:ind w:firstLine="663" w:firstLineChars="200"/>
        <w:outlineLvl w:val="2"/>
        <w:rPr>
          <w:rFonts w:hint="eastAsia" w:ascii="方正楷体_GBK" w:hAnsi="方正楷体_GBK" w:eastAsia="方正楷体_GBK" w:cs="方正楷体_GBK"/>
          <w:b/>
          <w:color w:val="000000"/>
          <w:sz w:val="33"/>
          <w:szCs w:val="33"/>
        </w:rPr>
      </w:pPr>
      <w:bookmarkStart w:id="39" w:name="_Toc15377211"/>
      <w:bookmarkStart w:id="40" w:name="_Toc2104238722"/>
      <w:r>
        <w:rPr>
          <w:rFonts w:hint="eastAsia" w:ascii="方正楷体_GBK" w:hAnsi="方正楷体_GBK" w:eastAsia="方正楷体_GBK" w:cs="方正楷体_GBK"/>
          <w:b/>
          <w:color w:val="000000"/>
          <w:sz w:val="33"/>
          <w:szCs w:val="33"/>
        </w:rPr>
        <w:t>（二）一般公共预算财政拨款支出决算结构情况</w:t>
      </w:r>
      <w:bookmarkEnd w:id="39"/>
      <w:bookmarkEnd w:id="40"/>
    </w:p>
    <w:p w14:paraId="40E2C7B4">
      <w:pPr>
        <w:keepNext w:val="0"/>
        <w:keepLines w:val="0"/>
        <w:pageBreakBefore w:val="0"/>
        <w:widowControl w:val="0"/>
        <w:kinsoku/>
        <w:wordWrap/>
        <w:overflowPunct/>
        <w:topLinePunct w:val="0"/>
        <w:autoSpaceDE/>
        <w:autoSpaceDN/>
        <w:bidi w:val="0"/>
        <w:adjustRightInd/>
        <w:snapToGrid/>
        <w:spacing w:line="570" w:lineRule="exact"/>
        <w:ind w:firstLine="660" w:firstLineChars="200"/>
        <w:textAlignment w:val="auto"/>
        <w:rPr>
          <w:rFonts w:hint="eastAsia" w:eastAsia="方正仿宋_GBK" w:cs="Times New Roman"/>
          <w:b w:val="0"/>
          <w:bCs w:val="0"/>
          <w:color w:val="000000"/>
          <w:sz w:val="33"/>
          <w:szCs w:val="33"/>
          <w:lang w:val="en-US" w:eastAsia="zh-CN"/>
        </w:rPr>
      </w:pPr>
      <w:r>
        <w:rPr>
          <w:rFonts w:hint="eastAsia" w:eastAsia="方正仿宋_GBK" w:cs="Times New Roman"/>
          <w:b w:val="0"/>
          <w:bCs w:val="0"/>
          <w:color w:val="000000"/>
          <w:sz w:val="33"/>
          <w:szCs w:val="33"/>
          <w:lang w:eastAsia="zh-CN"/>
        </w:rPr>
        <w:t>2024年度</w:t>
      </w:r>
      <w:r>
        <w:rPr>
          <w:rFonts w:hint="default" w:ascii="Times New Roman" w:hAnsi="Times New Roman" w:eastAsia="方正仿宋_GBK" w:cs="Times New Roman"/>
          <w:b w:val="0"/>
          <w:bCs w:val="0"/>
          <w:color w:val="000000"/>
          <w:sz w:val="33"/>
          <w:szCs w:val="33"/>
        </w:rPr>
        <w:t>一般公共预算财政拨款支出</w:t>
      </w:r>
      <w:r>
        <w:rPr>
          <w:rFonts w:hint="eastAsia" w:eastAsia="方正仿宋_GBK" w:cs="Times New Roman"/>
          <w:color w:val="000000"/>
          <w:sz w:val="33"/>
          <w:szCs w:val="33"/>
          <w:lang w:val="en-US" w:eastAsia="zh-CN"/>
        </w:rPr>
        <w:t>1305.9</w:t>
      </w:r>
      <w:r>
        <w:rPr>
          <w:rFonts w:hint="default" w:ascii="Times New Roman" w:hAnsi="Times New Roman" w:eastAsia="方正仿宋_GBK" w:cs="Times New Roman"/>
          <w:b w:val="0"/>
          <w:bCs w:val="0"/>
          <w:color w:val="000000"/>
          <w:sz w:val="33"/>
          <w:szCs w:val="33"/>
        </w:rPr>
        <w:t>万元，主要用于以下方面</w:t>
      </w:r>
      <w:r>
        <w:rPr>
          <w:rFonts w:hint="eastAsia" w:eastAsia="方正仿宋_GBK" w:cs="Times New Roman"/>
          <w:b w:val="0"/>
          <w:bCs w:val="0"/>
          <w:color w:val="000000"/>
          <w:sz w:val="33"/>
          <w:szCs w:val="33"/>
          <w:lang w:eastAsia="zh-CN"/>
        </w:rPr>
        <w:t>：</w:t>
      </w:r>
      <w:r>
        <w:rPr>
          <w:rFonts w:hint="eastAsia" w:ascii="Times New Roman" w:hAnsi="Times New Roman" w:eastAsia="方正仿宋_GBK" w:cs="Times New Roman"/>
          <w:b/>
          <w:bCs/>
          <w:color w:val="000000"/>
          <w:sz w:val="33"/>
          <w:szCs w:val="33"/>
        </w:rPr>
        <w:t>社会保障和就业</w:t>
      </w:r>
      <w:r>
        <w:rPr>
          <w:rFonts w:hint="eastAsia" w:ascii="Times New Roman" w:hAnsi="Times New Roman" w:eastAsia="方正仿宋_GBK" w:cs="Times New Roman"/>
          <w:b w:val="0"/>
          <w:bCs w:val="0"/>
          <w:color w:val="000000"/>
          <w:sz w:val="33"/>
          <w:szCs w:val="33"/>
        </w:rPr>
        <w:t>支出</w:t>
      </w:r>
      <w:r>
        <w:rPr>
          <w:rFonts w:hint="eastAsia" w:eastAsia="方正仿宋_GBK" w:cs="Times New Roman"/>
          <w:b w:val="0"/>
          <w:bCs w:val="0"/>
          <w:color w:val="000000"/>
          <w:sz w:val="33"/>
          <w:szCs w:val="33"/>
          <w:lang w:val="en-US" w:eastAsia="zh-CN"/>
        </w:rPr>
        <w:t>85.4</w:t>
      </w:r>
      <w:r>
        <w:rPr>
          <w:rFonts w:hint="eastAsia" w:ascii="Times New Roman" w:hAnsi="Times New Roman" w:eastAsia="方正仿宋_GBK" w:cs="Times New Roman"/>
          <w:b w:val="0"/>
          <w:bCs w:val="0"/>
          <w:color w:val="000000"/>
          <w:sz w:val="33"/>
          <w:szCs w:val="33"/>
        </w:rPr>
        <w:t>万元，占</w:t>
      </w:r>
      <w:r>
        <w:rPr>
          <w:rFonts w:hint="eastAsia" w:eastAsia="方正仿宋_GBK" w:cs="Times New Roman"/>
          <w:b w:val="0"/>
          <w:bCs w:val="0"/>
          <w:color w:val="000000"/>
          <w:sz w:val="33"/>
          <w:szCs w:val="33"/>
          <w:lang w:val="en-US" w:eastAsia="zh-CN"/>
        </w:rPr>
        <w:t>6.5</w:t>
      </w:r>
      <w:r>
        <w:rPr>
          <w:rFonts w:hint="default" w:ascii="Times New Roman" w:hAnsi="Times New Roman" w:eastAsia="方正仿宋_GBK" w:cs="Times New Roman"/>
          <w:b w:val="0"/>
          <w:bCs w:val="0"/>
          <w:color w:val="000000"/>
          <w:sz w:val="33"/>
          <w:szCs w:val="33"/>
        </w:rPr>
        <w:t>%</w:t>
      </w:r>
      <w:r>
        <w:rPr>
          <w:rFonts w:hint="eastAsia" w:ascii="Times New Roman" w:hAnsi="Times New Roman" w:eastAsia="方正仿宋_GBK" w:cs="Times New Roman"/>
          <w:b w:val="0"/>
          <w:bCs w:val="0"/>
          <w:color w:val="000000"/>
          <w:sz w:val="33"/>
          <w:szCs w:val="33"/>
        </w:rPr>
        <w:t>；</w:t>
      </w:r>
      <w:r>
        <w:rPr>
          <w:rFonts w:hint="eastAsia" w:ascii="Times New Roman" w:hAnsi="Times New Roman" w:eastAsia="方正仿宋_GBK" w:cs="Times New Roman"/>
          <w:b/>
          <w:bCs/>
          <w:color w:val="000000"/>
          <w:sz w:val="33"/>
          <w:szCs w:val="33"/>
        </w:rPr>
        <w:t>卫生健康</w:t>
      </w:r>
      <w:r>
        <w:rPr>
          <w:rFonts w:hint="eastAsia" w:ascii="Times New Roman" w:hAnsi="Times New Roman" w:eastAsia="方正仿宋_GBK" w:cs="Times New Roman"/>
          <w:b w:val="0"/>
          <w:bCs w:val="0"/>
          <w:color w:val="000000"/>
          <w:sz w:val="33"/>
          <w:szCs w:val="33"/>
        </w:rPr>
        <w:t>支出</w:t>
      </w:r>
      <w:r>
        <w:rPr>
          <w:rFonts w:hint="eastAsia" w:eastAsia="方正仿宋_GBK" w:cs="Times New Roman"/>
          <w:b w:val="0"/>
          <w:bCs w:val="0"/>
          <w:color w:val="000000"/>
          <w:sz w:val="33"/>
          <w:szCs w:val="33"/>
          <w:lang w:val="en-US" w:eastAsia="zh-CN"/>
        </w:rPr>
        <w:t>33.47</w:t>
      </w:r>
      <w:r>
        <w:rPr>
          <w:rFonts w:hint="eastAsia" w:ascii="Times New Roman" w:hAnsi="Times New Roman" w:eastAsia="方正仿宋_GBK" w:cs="Times New Roman"/>
          <w:b w:val="0"/>
          <w:bCs w:val="0"/>
          <w:color w:val="000000"/>
          <w:sz w:val="33"/>
          <w:szCs w:val="33"/>
        </w:rPr>
        <w:t>万元，占</w:t>
      </w:r>
      <w:r>
        <w:rPr>
          <w:rFonts w:hint="eastAsia" w:eastAsia="方正仿宋_GBK" w:cs="Times New Roman"/>
          <w:b w:val="0"/>
          <w:bCs w:val="0"/>
          <w:color w:val="000000"/>
          <w:sz w:val="33"/>
          <w:szCs w:val="33"/>
          <w:lang w:val="en-US" w:eastAsia="zh-CN"/>
        </w:rPr>
        <w:t>2.6</w:t>
      </w:r>
      <w:r>
        <w:rPr>
          <w:rFonts w:hint="default" w:ascii="Times New Roman" w:hAnsi="Times New Roman" w:eastAsia="方正仿宋_GBK" w:cs="Times New Roman"/>
          <w:b w:val="0"/>
          <w:bCs w:val="0"/>
          <w:color w:val="000000"/>
          <w:sz w:val="33"/>
          <w:szCs w:val="33"/>
        </w:rPr>
        <w:t>%</w:t>
      </w:r>
      <w:r>
        <w:rPr>
          <w:rFonts w:hint="eastAsia" w:ascii="Times New Roman" w:hAnsi="Times New Roman" w:eastAsia="方正仿宋_GBK" w:cs="Times New Roman"/>
          <w:b w:val="0"/>
          <w:bCs w:val="0"/>
          <w:color w:val="000000"/>
          <w:sz w:val="33"/>
          <w:szCs w:val="33"/>
        </w:rPr>
        <w:t>；</w:t>
      </w:r>
      <w:r>
        <w:rPr>
          <w:rFonts w:hint="eastAsia" w:ascii="Times New Roman" w:hAnsi="Times New Roman" w:eastAsia="方正仿宋_GBK" w:cs="Times New Roman"/>
          <w:b/>
          <w:bCs/>
          <w:color w:val="000000"/>
          <w:sz w:val="33"/>
          <w:szCs w:val="33"/>
          <w:lang w:eastAsia="zh-CN"/>
        </w:rPr>
        <w:t>自然资源海洋气象</w:t>
      </w:r>
      <w:r>
        <w:rPr>
          <w:rFonts w:hint="eastAsia" w:ascii="Times New Roman" w:hAnsi="Times New Roman" w:eastAsia="方正仿宋_GBK" w:cs="Times New Roman"/>
          <w:b w:val="0"/>
          <w:bCs w:val="0"/>
          <w:color w:val="000000"/>
          <w:sz w:val="33"/>
          <w:szCs w:val="33"/>
          <w:lang w:eastAsia="zh-CN"/>
        </w:rPr>
        <w:t>等支出</w:t>
      </w:r>
      <w:r>
        <w:rPr>
          <w:rFonts w:hint="eastAsia" w:eastAsia="方正仿宋_GBK" w:cs="Times New Roman"/>
          <w:b w:val="0"/>
          <w:bCs w:val="0"/>
          <w:color w:val="000000"/>
          <w:sz w:val="33"/>
          <w:szCs w:val="33"/>
          <w:lang w:val="en-US" w:eastAsia="zh-CN"/>
        </w:rPr>
        <w:t>1183.85</w:t>
      </w:r>
      <w:r>
        <w:rPr>
          <w:rFonts w:hint="eastAsia" w:ascii="Times New Roman" w:hAnsi="Times New Roman" w:eastAsia="方正仿宋_GBK" w:cs="Times New Roman"/>
          <w:b w:val="0"/>
          <w:bCs w:val="0"/>
          <w:color w:val="000000"/>
          <w:sz w:val="33"/>
          <w:szCs w:val="33"/>
          <w:lang w:val="en-US" w:eastAsia="zh-CN"/>
        </w:rPr>
        <w:t>万元</w:t>
      </w:r>
      <w:r>
        <w:rPr>
          <w:rFonts w:hint="eastAsia" w:eastAsia="方正仿宋_GBK" w:cs="Times New Roman"/>
          <w:b w:val="0"/>
          <w:bCs w:val="0"/>
          <w:color w:val="000000"/>
          <w:sz w:val="33"/>
          <w:szCs w:val="33"/>
          <w:lang w:val="en-US" w:eastAsia="zh-CN"/>
        </w:rPr>
        <w:t>，</w:t>
      </w:r>
      <w:r>
        <w:rPr>
          <w:rFonts w:hint="eastAsia" w:ascii="Times New Roman" w:hAnsi="Times New Roman" w:eastAsia="方正仿宋_GBK" w:cs="Times New Roman"/>
          <w:b w:val="0"/>
          <w:bCs w:val="0"/>
          <w:color w:val="000000"/>
          <w:sz w:val="33"/>
          <w:szCs w:val="33"/>
        </w:rPr>
        <w:t>占</w:t>
      </w:r>
      <w:r>
        <w:rPr>
          <w:rFonts w:hint="eastAsia" w:eastAsia="方正仿宋_GBK" w:cs="Times New Roman"/>
          <w:b w:val="0"/>
          <w:bCs w:val="0"/>
          <w:color w:val="000000"/>
          <w:sz w:val="33"/>
          <w:szCs w:val="33"/>
          <w:lang w:val="en-US" w:eastAsia="zh-CN"/>
        </w:rPr>
        <w:t>90.7</w:t>
      </w:r>
      <w:r>
        <w:rPr>
          <w:rFonts w:hint="default" w:ascii="Times New Roman" w:hAnsi="Times New Roman" w:eastAsia="方正仿宋_GBK" w:cs="Times New Roman"/>
          <w:b w:val="0"/>
          <w:bCs w:val="0"/>
          <w:color w:val="000000"/>
          <w:sz w:val="33"/>
          <w:szCs w:val="33"/>
        </w:rPr>
        <w:t>%</w:t>
      </w:r>
      <w:r>
        <w:rPr>
          <w:rFonts w:hint="eastAsia" w:ascii="Times New Roman" w:hAnsi="Times New Roman" w:eastAsia="方正仿宋_GBK" w:cs="Times New Roman"/>
          <w:b w:val="0"/>
          <w:bCs w:val="0"/>
          <w:color w:val="000000"/>
          <w:sz w:val="33"/>
          <w:szCs w:val="33"/>
          <w:lang w:val="en-US" w:eastAsia="zh-CN"/>
        </w:rPr>
        <w:t>。</w:t>
      </w:r>
      <w:r>
        <w:rPr>
          <w:rFonts w:hint="eastAsia" w:ascii="Times New Roman" w:hAnsi="Times New Roman" w:eastAsia="方正仿宋_GBK" w:cs="Times New Roman"/>
          <w:b/>
          <w:bCs/>
          <w:color w:val="000000"/>
          <w:sz w:val="33"/>
          <w:szCs w:val="33"/>
          <w:lang w:val="en-US" w:eastAsia="zh-CN"/>
        </w:rPr>
        <w:t>粮油物资储备支出</w:t>
      </w:r>
      <w:r>
        <w:rPr>
          <w:rFonts w:hint="eastAsia" w:ascii="Times New Roman" w:hAnsi="Times New Roman" w:eastAsia="方正仿宋_GBK" w:cs="Times New Roman"/>
          <w:b w:val="0"/>
          <w:bCs w:val="0"/>
          <w:color w:val="000000"/>
          <w:sz w:val="33"/>
          <w:szCs w:val="33"/>
          <w:lang w:eastAsia="zh-CN"/>
        </w:rPr>
        <w:t>等支出</w:t>
      </w:r>
      <w:r>
        <w:rPr>
          <w:rFonts w:hint="eastAsia" w:eastAsia="方正仿宋_GBK" w:cs="Times New Roman"/>
          <w:b w:val="0"/>
          <w:bCs w:val="0"/>
          <w:color w:val="000000"/>
          <w:sz w:val="33"/>
          <w:szCs w:val="33"/>
          <w:lang w:val="en-US" w:eastAsia="zh-CN"/>
        </w:rPr>
        <w:t>3.19万元，占0.2%。</w:t>
      </w:r>
    </w:p>
    <w:p w14:paraId="44A77F29">
      <w:pPr>
        <w:pStyle w:val="2"/>
        <w:jc w:val="center"/>
        <w:rPr>
          <w:rFonts w:hint="default"/>
          <w:lang w:val="en-US" w:eastAsia="zh-CN"/>
        </w:rPr>
      </w:pPr>
      <w:r>
        <w:drawing>
          <wp:inline distT="0" distB="0" distL="114300" distR="114300">
            <wp:extent cx="2983865" cy="1809750"/>
            <wp:effectExtent l="4445" t="4445" r="13970" b="14605"/>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DE703C">
      <w:pPr>
        <w:jc w:val="center"/>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0B3EDD1A">
      <w:pPr>
        <w:spacing w:line="600" w:lineRule="exact"/>
        <w:ind w:firstLine="663" w:firstLineChars="200"/>
        <w:outlineLvl w:val="2"/>
        <w:rPr>
          <w:rFonts w:hint="default" w:ascii="方正楷体_GBK" w:hAnsi="方正楷体_GBK" w:eastAsia="方正楷体_GBK" w:cs="方正楷体_GBK"/>
          <w:b/>
          <w:color w:val="000000"/>
          <w:sz w:val="33"/>
          <w:szCs w:val="33"/>
        </w:rPr>
      </w:pPr>
      <w:bookmarkStart w:id="41" w:name="_Toc15377212"/>
      <w:bookmarkStart w:id="42" w:name="_Toc1176669274"/>
      <w:r>
        <w:rPr>
          <w:rFonts w:hint="default" w:ascii="方正楷体_GBK" w:hAnsi="方正楷体_GBK" w:eastAsia="方正楷体_GBK" w:cs="方正楷体_GBK"/>
          <w:b/>
          <w:color w:val="000000"/>
          <w:sz w:val="33"/>
          <w:szCs w:val="33"/>
        </w:rPr>
        <w:t>（三）一般公共预算财政拨款支出决算具体情况</w:t>
      </w:r>
      <w:bookmarkEnd w:id="41"/>
      <w:bookmarkEnd w:id="42"/>
    </w:p>
    <w:p w14:paraId="16170DE2">
      <w:pPr>
        <w:spacing w:line="600" w:lineRule="exact"/>
        <w:ind w:firstLine="660" w:firstLineChars="200"/>
        <w:outlineLvl w:val="1"/>
        <w:rPr>
          <w:rFonts w:hint="default" w:ascii="Times New Roman" w:hAnsi="Times New Roman" w:eastAsia="方正仿宋_GBK" w:cs="Times New Roman"/>
          <w:b w:val="0"/>
          <w:bCs/>
          <w:color w:val="FF0000"/>
          <w:sz w:val="33"/>
          <w:szCs w:val="33"/>
        </w:rPr>
      </w:pPr>
      <w:bookmarkStart w:id="43" w:name="_Toc5537"/>
      <w:bookmarkStart w:id="44" w:name="_Toc15377213"/>
      <w:bookmarkStart w:id="45" w:name="_Toc15377444"/>
      <w:bookmarkStart w:id="46" w:name="_Toc819419362"/>
      <w:bookmarkStart w:id="47" w:name="_Toc15378460"/>
      <w:r>
        <w:rPr>
          <w:rFonts w:hint="eastAsia" w:eastAsia="方正仿宋_GBK" w:cs="Times New Roman"/>
          <w:b w:val="0"/>
          <w:bCs/>
          <w:color w:val="000000" w:themeColor="text1"/>
          <w:sz w:val="33"/>
          <w:szCs w:val="33"/>
          <w:lang w:eastAsia="zh-CN"/>
          <w14:textFill>
            <w14:solidFill>
              <w14:schemeClr w14:val="tx1"/>
            </w14:solidFill>
          </w14:textFill>
        </w:rPr>
        <w:t>2024年度</w:t>
      </w:r>
      <w:r>
        <w:rPr>
          <w:rFonts w:hint="default" w:ascii="Times New Roman" w:hAnsi="Times New Roman" w:eastAsia="方正仿宋_GBK" w:cs="Times New Roman"/>
          <w:b w:val="0"/>
          <w:bCs/>
          <w:color w:val="000000" w:themeColor="text1"/>
          <w:sz w:val="33"/>
          <w:szCs w:val="33"/>
          <w:lang w:eastAsia="zh-CN"/>
          <w14:textFill>
            <w14:solidFill>
              <w14:schemeClr w14:val="tx1"/>
            </w14:solidFill>
          </w14:textFill>
        </w:rPr>
        <w:t>一</w:t>
      </w:r>
      <w:r>
        <w:rPr>
          <w:rFonts w:hint="default" w:ascii="Times New Roman" w:hAnsi="Times New Roman" w:eastAsia="方正仿宋_GBK" w:cs="Times New Roman"/>
          <w:b w:val="0"/>
          <w:bCs/>
          <w:color w:val="000000" w:themeColor="text1"/>
          <w:sz w:val="33"/>
          <w:szCs w:val="33"/>
          <w14:textFill>
            <w14:solidFill>
              <w14:schemeClr w14:val="tx1"/>
            </w14:solidFill>
          </w14:textFill>
        </w:rPr>
        <w:t>般公共预算支出决算数为</w:t>
      </w:r>
      <w:r>
        <w:rPr>
          <w:rFonts w:hint="eastAsia" w:eastAsia="方正仿宋_GBK" w:cs="Times New Roman"/>
          <w:b w:val="0"/>
          <w:bCs/>
          <w:color w:val="000000"/>
          <w:sz w:val="33"/>
          <w:szCs w:val="33"/>
          <w:lang w:val="en-US" w:eastAsia="zh-CN"/>
        </w:rPr>
        <w:t>1305.9万元</w:t>
      </w:r>
      <w:r>
        <w:rPr>
          <w:rFonts w:hint="default" w:ascii="Times New Roman" w:hAnsi="Times New Roman" w:eastAsia="方正仿宋_GBK" w:cs="Times New Roman"/>
          <w:b w:val="0"/>
          <w:bCs/>
          <w:color w:val="000000" w:themeColor="text1"/>
          <w:sz w:val="33"/>
          <w:szCs w:val="33"/>
          <w14:textFill>
            <w14:solidFill>
              <w14:schemeClr w14:val="tx1"/>
            </w14:solidFill>
          </w14:textFill>
        </w:rPr>
        <w:t>，</w:t>
      </w:r>
      <w:r>
        <w:rPr>
          <w:rStyle w:val="19"/>
          <w:rFonts w:hint="default" w:ascii="Times New Roman" w:hAnsi="Times New Roman" w:eastAsia="方正仿宋_GBK" w:cs="Times New Roman"/>
          <w:b w:val="0"/>
          <w:bCs/>
          <w:color w:val="000000" w:themeColor="text1"/>
          <w:sz w:val="33"/>
          <w:szCs w:val="33"/>
          <w14:textFill>
            <w14:solidFill>
              <w14:schemeClr w14:val="tx1"/>
            </w14:solidFill>
          </w14:textFill>
        </w:rPr>
        <w:t>完成</w:t>
      </w:r>
      <w:r>
        <w:rPr>
          <w:rStyle w:val="19"/>
          <w:rFonts w:hint="default" w:ascii="Times New Roman" w:hAnsi="Times New Roman" w:eastAsia="方正仿宋_GBK" w:cs="Times New Roman"/>
          <w:b w:val="0"/>
          <w:bCs/>
          <w:color w:val="000000"/>
          <w:sz w:val="33"/>
          <w:szCs w:val="33"/>
        </w:rPr>
        <w:t>预算</w:t>
      </w:r>
      <w:r>
        <w:rPr>
          <w:rStyle w:val="19"/>
          <w:rFonts w:hint="default" w:ascii="Times New Roman" w:hAnsi="Times New Roman" w:eastAsia="方正仿宋_GBK" w:cs="Times New Roman"/>
          <w:b w:val="0"/>
          <w:bCs/>
          <w:color w:val="000000"/>
          <w:sz w:val="33"/>
          <w:szCs w:val="33"/>
          <w:lang w:val="en-US" w:eastAsia="zh-CN"/>
        </w:rPr>
        <w:t>100</w:t>
      </w:r>
      <w:r>
        <w:rPr>
          <w:rStyle w:val="19"/>
          <w:rFonts w:hint="default" w:ascii="Times New Roman" w:hAnsi="Times New Roman" w:eastAsia="方正仿宋_GBK" w:cs="Times New Roman"/>
          <w:b w:val="0"/>
          <w:bCs/>
          <w:color w:val="000000"/>
          <w:sz w:val="33"/>
          <w:szCs w:val="33"/>
        </w:rPr>
        <w:t>%。其中：</w:t>
      </w:r>
      <w:bookmarkEnd w:id="43"/>
      <w:bookmarkEnd w:id="44"/>
      <w:bookmarkEnd w:id="45"/>
      <w:bookmarkEnd w:id="46"/>
      <w:bookmarkEnd w:id="47"/>
    </w:p>
    <w:p w14:paraId="127A45A8">
      <w:pPr>
        <w:spacing w:line="600" w:lineRule="exact"/>
        <w:ind w:firstLine="643" w:firstLineChars="200"/>
        <w:rPr>
          <w:rStyle w:val="19"/>
          <w:rFonts w:hint="eastAsia" w:ascii="仿宋" w:hAnsi="仿宋" w:eastAsia="仿宋"/>
          <w:b w:val="0"/>
          <w:bCs/>
          <w:color w:val="000000"/>
          <w:sz w:val="32"/>
          <w:szCs w:val="32"/>
        </w:rPr>
      </w:pPr>
      <w:r>
        <w:rPr>
          <w:rStyle w:val="19"/>
          <w:rFonts w:hint="eastAsia" w:ascii="仿宋" w:hAnsi="仿宋" w:eastAsia="仿宋"/>
          <w:bCs/>
          <w:color w:val="000000"/>
          <w:sz w:val="32"/>
          <w:szCs w:val="32"/>
          <w:lang w:val="en-US" w:eastAsia="zh-CN"/>
        </w:rPr>
        <w:t>1.</w:t>
      </w:r>
      <w:r>
        <w:rPr>
          <w:rStyle w:val="19"/>
          <w:rFonts w:hint="eastAsia" w:ascii="仿宋" w:hAnsi="仿宋" w:eastAsia="仿宋"/>
          <w:bCs/>
          <w:color w:val="000000"/>
          <w:sz w:val="32"/>
          <w:szCs w:val="32"/>
        </w:rPr>
        <w:t>社会保障和就业支出（类）行政事业单位养老支出</w:t>
      </w:r>
      <w:r>
        <w:rPr>
          <w:rStyle w:val="19"/>
          <w:rFonts w:hint="eastAsia" w:ascii="仿宋" w:hAnsi="仿宋" w:eastAsia="仿宋"/>
          <w:bCs/>
          <w:color w:val="000000"/>
          <w:sz w:val="32"/>
          <w:szCs w:val="32"/>
          <w:lang w:eastAsia="zh-CN"/>
        </w:rPr>
        <w:t>（款）机关事业单位基本养老保险缴费支出（项）：</w:t>
      </w:r>
      <w:r>
        <w:rPr>
          <w:rFonts w:hint="eastAsia" w:eastAsia="方正仿宋_GBK" w:cs="Times New Roman"/>
          <w:b w:val="0"/>
          <w:bCs w:val="0"/>
          <w:color w:val="000000"/>
          <w:sz w:val="33"/>
          <w:szCs w:val="33"/>
          <w:lang w:val="en-US" w:eastAsia="zh-CN"/>
        </w:rPr>
        <w:t>支出决算85.4万元，完成预算100%。</w:t>
      </w:r>
    </w:p>
    <w:p w14:paraId="7A0EED1A">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lang w:val="en-US" w:eastAsia="zh-CN"/>
        </w:rPr>
        <w:t>2.</w:t>
      </w:r>
      <w:r>
        <w:rPr>
          <w:rFonts w:hint="eastAsia" w:ascii="仿宋" w:hAnsi="仿宋" w:eastAsia="仿宋"/>
          <w:b/>
          <w:color w:val="000000"/>
          <w:sz w:val="32"/>
          <w:szCs w:val="32"/>
        </w:rPr>
        <w:t>卫生健康支出（类）行政事业单位医疗</w:t>
      </w:r>
      <w:r>
        <w:rPr>
          <w:rStyle w:val="19"/>
          <w:rFonts w:hint="eastAsia" w:ascii="仿宋" w:hAnsi="仿宋" w:eastAsia="仿宋"/>
          <w:bCs/>
          <w:color w:val="000000"/>
          <w:sz w:val="32"/>
          <w:szCs w:val="32"/>
          <w:lang w:eastAsia="zh-CN"/>
        </w:rPr>
        <w:t>（款）事业单位医疗（项）、公务员医疗补助（</w:t>
      </w:r>
      <w:r>
        <w:rPr>
          <w:rStyle w:val="19"/>
          <w:rFonts w:hint="eastAsia" w:ascii="仿宋" w:hAnsi="仿宋" w:eastAsia="仿宋"/>
          <w:bCs/>
          <w:color w:val="000000"/>
          <w:sz w:val="32"/>
          <w:szCs w:val="32"/>
          <w:lang w:val="en-US" w:eastAsia="zh-CN"/>
        </w:rPr>
        <w:t>项</w:t>
      </w:r>
      <w:r>
        <w:rPr>
          <w:rStyle w:val="19"/>
          <w:rFonts w:hint="eastAsia" w:ascii="仿宋" w:hAnsi="仿宋" w:eastAsia="仿宋"/>
          <w:bCs/>
          <w:color w:val="000000"/>
          <w:sz w:val="32"/>
          <w:szCs w:val="32"/>
          <w:lang w:eastAsia="zh-CN"/>
        </w:rPr>
        <w:t>）</w:t>
      </w:r>
      <w:r>
        <w:rPr>
          <w:rFonts w:hint="eastAsia" w:eastAsia="方正仿宋_GBK" w:cs="Times New Roman"/>
          <w:b w:val="0"/>
          <w:bCs w:val="0"/>
          <w:color w:val="000000"/>
          <w:sz w:val="33"/>
          <w:szCs w:val="33"/>
          <w:lang w:val="en-US" w:eastAsia="zh-CN"/>
        </w:rPr>
        <w:t>支出33.47万元，完成预算100%。</w:t>
      </w:r>
    </w:p>
    <w:p w14:paraId="5567D10B">
      <w:pPr>
        <w:spacing w:line="600" w:lineRule="exact"/>
        <w:ind w:firstLine="643" w:firstLineChars="200"/>
        <w:rPr>
          <w:rFonts w:hint="eastAsia" w:eastAsia="方正仿宋_GBK" w:cs="Times New Roman"/>
          <w:b w:val="0"/>
          <w:bCs w:val="0"/>
          <w:color w:val="000000"/>
          <w:sz w:val="33"/>
          <w:szCs w:val="33"/>
          <w:lang w:val="en-US" w:eastAsia="zh-CN"/>
        </w:rPr>
      </w:pPr>
      <w:r>
        <w:rPr>
          <w:rStyle w:val="19"/>
          <w:rFonts w:hint="eastAsia" w:ascii="仿宋" w:hAnsi="仿宋" w:eastAsia="仿宋"/>
          <w:bCs/>
          <w:color w:val="000000"/>
          <w:sz w:val="32"/>
          <w:szCs w:val="32"/>
          <w:lang w:val="en-US" w:eastAsia="zh-CN"/>
        </w:rPr>
        <w:t>3</w:t>
      </w:r>
      <w:r>
        <w:rPr>
          <w:rStyle w:val="19"/>
          <w:rFonts w:hint="default" w:ascii="仿宋" w:hAnsi="仿宋" w:eastAsia="仿宋"/>
          <w:bCs/>
          <w:color w:val="000000"/>
          <w:sz w:val="32"/>
          <w:szCs w:val="32"/>
          <w:lang w:val="en"/>
        </w:rPr>
        <w:t>.自然资源海洋气象等支出</w:t>
      </w:r>
      <w:r>
        <w:rPr>
          <w:rStyle w:val="19"/>
          <w:rFonts w:hint="eastAsia" w:ascii="仿宋" w:hAnsi="仿宋" w:eastAsia="仿宋"/>
          <w:bCs/>
          <w:color w:val="000000"/>
          <w:sz w:val="32"/>
          <w:szCs w:val="32"/>
        </w:rPr>
        <w:t>（类）自然资源事务</w:t>
      </w:r>
      <w:r>
        <w:rPr>
          <w:rStyle w:val="19"/>
          <w:rFonts w:hint="eastAsia" w:ascii="仿宋" w:hAnsi="仿宋" w:eastAsia="仿宋"/>
          <w:bCs/>
          <w:color w:val="000000"/>
          <w:sz w:val="32"/>
          <w:szCs w:val="32"/>
          <w:lang w:eastAsia="zh-CN"/>
        </w:rPr>
        <w:t>（款）</w:t>
      </w:r>
      <w:r>
        <w:rPr>
          <w:rStyle w:val="19"/>
          <w:rFonts w:hint="eastAsia" w:ascii="仿宋" w:hAnsi="仿宋" w:eastAsia="仿宋"/>
          <w:bCs/>
          <w:color w:val="000000"/>
          <w:sz w:val="32"/>
          <w:szCs w:val="32"/>
          <w:lang w:val="en-US" w:eastAsia="zh-CN"/>
        </w:rPr>
        <w:t>事业</w:t>
      </w:r>
      <w:r>
        <w:rPr>
          <w:rStyle w:val="19"/>
          <w:rFonts w:hint="eastAsia" w:ascii="仿宋" w:hAnsi="仿宋" w:eastAsia="仿宋"/>
          <w:bCs/>
          <w:color w:val="000000"/>
          <w:sz w:val="32"/>
          <w:szCs w:val="32"/>
          <w:lang w:eastAsia="zh-CN"/>
        </w:rPr>
        <w:t>运行（</w:t>
      </w:r>
      <w:r>
        <w:rPr>
          <w:rStyle w:val="19"/>
          <w:rFonts w:hint="eastAsia" w:ascii="仿宋" w:hAnsi="仿宋" w:eastAsia="仿宋"/>
          <w:bCs/>
          <w:color w:val="000000"/>
          <w:sz w:val="32"/>
          <w:szCs w:val="32"/>
          <w:lang w:val="en" w:eastAsia="zh-CN"/>
        </w:rPr>
        <w:t>项）、其他自然资源事务支出</w:t>
      </w:r>
      <w:r>
        <w:rPr>
          <w:rStyle w:val="19"/>
          <w:rFonts w:hint="eastAsia" w:ascii="仿宋" w:hAnsi="仿宋" w:eastAsia="仿宋"/>
          <w:bCs/>
          <w:color w:val="000000"/>
          <w:sz w:val="32"/>
          <w:szCs w:val="32"/>
          <w:lang w:eastAsia="zh-CN"/>
        </w:rPr>
        <w:t>（</w:t>
      </w:r>
      <w:r>
        <w:rPr>
          <w:rStyle w:val="19"/>
          <w:rFonts w:hint="eastAsia" w:ascii="仿宋" w:hAnsi="仿宋" w:eastAsia="仿宋"/>
          <w:bCs/>
          <w:color w:val="000000"/>
          <w:sz w:val="32"/>
          <w:szCs w:val="32"/>
          <w:lang w:val="en" w:eastAsia="zh-CN"/>
        </w:rPr>
        <w:t>项）</w:t>
      </w:r>
      <w:r>
        <w:rPr>
          <w:rFonts w:hint="eastAsia" w:eastAsia="方正仿宋_GBK" w:cs="Times New Roman"/>
          <w:b w:val="0"/>
          <w:bCs w:val="0"/>
          <w:color w:val="000000"/>
          <w:sz w:val="33"/>
          <w:szCs w:val="33"/>
          <w:lang w:val="en-US" w:eastAsia="zh-CN"/>
        </w:rPr>
        <w:t>支出决算1183.85万元，完成预算100%。</w:t>
      </w:r>
    </w:p>
    <w:p w14:paraId="1A5FE0EA">
      <w:pPr>
        <w:spacing w:line="600" w:lineRule="exact"/>
        <w:ind w:firstLine="643" w:firstLineChars="200"/>
        <w:rPr>
          <w:rFonts w:hint="eastAsia" w:eastAsia="方正仿宋_GBK" w:cs="Times New Roman"/>
          <w:b w:val="0"/>
          <w:bCs w:val="0"/>
          <w:color w:val="000000"/>
          <w:sz w:val="33"/>
          <w:szCs w:val="33"/>
          <w:lang w:val="en-US" w:eastAsia="zh-CN"/>
        </w:rPr>
      </w:pPr>
      <w:r>
        <w:rPr>
          <w:rStyle w:val="19"/>
          <w:rFonts w:hint="eastAsia" w:ascii="仿宋" w:hAnsi="仿宋" w:eastAsia="仿宋" w:cs="Times New Roman"/>
          <w:bCs/>
          <w:color w:val="000000"/>
          <w:kern w:val="2"/>
          <w:sz w:val="32"/>
          <w:szCs w:val="32"/>
          <w:lang w:val="en-US" w:eastAsia="zh-CN" w:bidi="ar-SA"/>
        </w:rPr>
        <w:t>4</w:t>
      </w:r>
      <w:r>
        <w:rPr>
          <w:rStyle w:val="19"/>
          <w:rFonts w:hint="eastAsia" w:ascii="仿宋" w:hAnsi="仿宋" w:eastAsia="仿宋" w:cs="Times New Roman"/>
          <w:bCs/>
          <w:color w:val="000000"/>
          <w:kern w:val="2"/>
          <w:sz w:val="32"/>
          <w:szCs w:val="32"/>
          <w:lang w:val="en" w:eastAsia="zh-CN" w:bidi="ar-SA"/>
        </w:rPr>
        <w:t>.粮油物资储备支出</w:t>
      </w:r>
      <w:r>
        <w:rPr>
          <w:rStyle w:val="19"/>
          <w:rFonts w:hint="eastAsia" w:ascii="仿宋" w:hAnsi="仿宋" w:eastAsia="仿宋" w:cs="Times New Roman"/>
          <w:bCs/>
          <w:color w:val="000000"/>
          <w:kern w:val="2"/>
          <w:sz w:val="32"/>
          <w:szCs w:val="32"/>
          <w:lang w:val="en-US" w:eastAsia="zh-CN" w:bidi="ar-SA"/>
        </w:rPr>
        <w:t>（类）粮油物资事务（款）事业运行（</w:t>
      </w:r>
      <w:r>
        <w:rPr>
          <w:rStyle w:val="19"/>
          <w:rFonts w:hint="eastAsia" w:ascii="仿宋" w:hAnsi="仿宋" w:eastAsia="仿宋" w:cs="Times New Roman"/>
          <w:bCs/>
          <w:color w:val="000000"/>
          <w:kern w:val="2"/>
          <w:sz w:val="32"/>
          <w:szCs w:val="32"/>
          <w:lang w:val="en" w:eastAsia="zh-CN" w:bidi="ar-SA"/>
        </w:rPr>
        <w:t>项）</w:t>
      </w:r>
      <w:r>
        <w:rPr>
          <w:rFonts w:hint="eastAsia" w:eastAsia="方正仿宋_GBK" w:cs="Times New Roman"/>
          <w:b w:val="0"/>
          <w:bCs w:val="0"/>
          <w:color w:val="000000"/>
          <w:sz w:val="33"/>
          <w:szCs w:val="33"/>
          <w:lang w:val="en-US" w:eastAsia="zh-CN"/>
        </w:rPr>
        <w:t>支出决算3.19万元，完成预算100%。</w:t>
      </w:r>
    </w:p>
    <w:p w14:paraId="15A244B3">
      <w:pPr>
        <w:pStyle w:val="2"/>
        <w:keepNext w:val="0"/>
        <w:keepLines w:val="0"/>
        <w:pageBreakBefore w:val="0"/>
        <w:widowControl w:val="0"/>
        <w:kinsoku/>
        <w:wordWrap/>
        <w:overflowPunct/>
        <w:topLinePunct w:val="0"/>
        <w:autoSpaceDE/>
        <w:autoSpaceDN/>
        <w:bidi w:val="0"/>
        <w:adjustRightInd/>
        <w:snapToGrid w:val="0"/>
        <w:ind w:firstLine="643" w:firstLineChars="200"/>
        <w:textAlignment w:val="auto"/>
        <w:rPr>
          <w:rStyle w:val="19"/>
          <w:rFonts w:hint="eastAsia" w:ascii="仿宋" w:hAnsi="仿宋" w:eastAsia="仿宋" w:cs="Times New Roman"/>
          <w:bCs/>
          <w:color w:val="000000"/>
          <w:kern w:val="2"/>
          <w:sz w:val="32"/>
          <w:szCs w:val="32"/>
          <w:lang w:val="en-US" w:eastAsia="zh-CN" w:bidi="ar-SA"/>
        </w:rPr>
      </w:pPr>
    </w:p>
    <w:p w14:paraId="55CDAB9A">
      <w:pPr>
        <w:pStyle w:val="31"/>
        <w:numPr>
          <w:ilvl w:val="0"/>
          <w:numId w:val="0"/>
        </w:numPr>
        <w:spacing w:line="600" w:lineRule="exact"/>
        <w:ind w:left="640" w:leftChars="0"/>
        <w:outlineLvl w:val="1"/>
        <w:rPr>
          <w:rFonts w:hint="eastAsia" w:ascii="方正黑体_GBK" w:hAnsi="方正黑体_GBK" w:eastAsia="方正黑体_GBK" w:cs="方正黑体_GBK"/>
          <w:color w:val="000000"/>
          <w:sz w:val="33"/>
          <w:szCs w:val="33"/>
        </w:rPr>
      </w:pPr>
      <w:bookmarkStart w:id="48" w:name="_Toc15396608"/>
      <w:bookmarkStart w:id="49" w:name="_Toc15377214"/>
      <w:bookmarkStart w:id="50" w:name="_Toc1323442469"/>
      <w:r>
        <w:rPr>
          <w:rFonts w:hint="eastAsia" w:ascii="方正黑体_GBK" w:hAnsi="方正黑体_GBK" w:eastAsia="方正黑体_GBK" w:cs="方正黑体_GBK"/>
          <w:color w:val="000000"/>
          <w:sz w:val="33"/>
          <w:szCs w:val="33"/>
        </w:rPr>
        <w:t>六、一般公共预算财政拨款基本支出决算情况说明</w:t>
      </w:r>
      <w:bookmarkEnd w:id="48"/>
      <w:bookmarkEnd w:id="49"/>
      <w:bookmarkEnd w:id="50"/>
      <w:r>
        <w:rPr>
          <w:rFonts w:hint="eastAsia" w:ascii="方正黑体_GBK" w:hAnsi="方正黑体_GBK" w:eastAsia="方正黑体_GBK" w:cs="方正黑体_GBK"/>
          <w:color w:val="000000"/>
          <w:sz w:val="33"/>
          <w:szCs w:val="33"/>
        </w:rPr>
        <w:tab/>
      </w:r>
    </w:p>
    <w:p w14:paraId="52D4E248">
      <w:pPr>
        <w:spacing w:line="600" w:lineRule="exact"/>
        <w:ind w:firstLine="645"/>
        <w:rPr>
          <w:rFonts w:hint="default" w:ascii="Times New Roman" w:hAnsi="Times New Roman" w:eastAsia="方正仿宋_GBK" w:cs="Times New Roman"/>
          <w:color w:val="000000"/>
          <w:sz w:val="33"/>
          <w:szCs w:val="33"/>
        </w:rPr>
      </w:pPr>
      <w:r>
        <w:rPr>
          <w:rFonts w:hint="eastAsia" w:eastAsia="方正仿宋_GBK" w:cs="Times New Roman"/>
          <w:color w:val="000000"/>
          <w:sz w:val="33"/>
          <w:szCs w:val="33"/>
          <w:lang w:eastAsia="zh-CN"/>
        </w:rPr>
        <w:t>2024年度</w:t>
      </w:r>
      <w:r>
        <w:rPr>
          <w:rFonts w:hint="default" w:ascii="Times New Roman" w:hAnsi="Times New Roman" w:eastAsia="方正仿宋_GBK" w:cs="Times New Roman"/>
          <w:color w:val="000000"/>
          <w:sz w:val="33"/>
          <w:szCs w:val="33"/>
        </w:rPr>
        <w:t>一般公共预算财政拨款基本支出</w:t>
      </w:r>
      <w:r>
        <w:rPr>
          <w:rFonts w:hint="eastAsia" w:eastAsia="方正仿宋_GBK" w:cs="Times New Roman"/>
          <w:color w:val="000000"/>
          <w:sz w:val="33"/>
          <w:szCs w:val="33"/>
          <w:lang w:val="en-US" w:eastAsia="zh-CN"/>
        </w:rPr>
        <w:t>1142.29</w:t>
      </w:r>
      <w:r>
        <w:rPr>
          <w:rFonts w:hint="default" w:ascii="Times New Roman" w:hAnsi="Times New Roman" w:eastAsia="方正仿宋_GBK" w:cs="Times New Roman"/>
          <w:color w:val="000000"/>
          <w:sz w:val="33"/>
          <w:szCs w:val="33"/>
        </w:rPr>
        <w:t>万元，其中：</w:t>
      </w:r>
    </w:p>
    <w:p w14:paraId="4E5B33C5">
      <w:pPr>
        <w:spacing w:line="600" w:lineRule="exact"/>
        <w:ind w:firstLine="645"/>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人员经费</w:t>
      </w:r>
      <w:r>
        <w:rPr>
          <w:rFonts w:hint="eastAsia" w:eastAsia="方正仿宋_GBK" w:cs="Times New Roman"/>
          <w:color w:val="000000"/>
          <w:sz w:val="33"/>
          <w:szCs w:val="33"/>
          <w:lang w:val="en-US" w:eastAsia="zh-CN"/>
        </w:rPr>
        <w:t>784.46</w:t>
      </w:r>
      <w:r>
        <w:rPr>
          <w:rFonts w:hint="default" w:ascii="Times New Roman" w:hAnsi="Times New Roman" w:eastAsia="方正仿宋_GBK" w:cs="Times New Roman"/>
          <w:color w:val="000000"/>
          <w:sz w:val="33"/>
          <w:szCs w:val="33"/>
        </w:rPr>
        <w:t>万元，主要包括：基本工资、津贴补贴、奖金、伙食补助费、绩效工资、机关事业单位基本养老保险缴费、职业</w:t>
      </w:r>
      <w:r>
        <w:rPr>
          <w:rFonts w:hint="eastAsia" w:eastAsia="方正仿宋_GBK" w:cs="Times New Roman"/>
          <w:color w:val="000000"/>
          <w:sz w:val="33"/>
          <w:szCs w:val="33"/>
          <w:lang w:eastAsia="zh-CN"/>
        </w:rPr>
        <w:t>年</w:t>
      </w:r>
      <w:r>
        <w:rPr>
          <w:rFonts w:hint="default" w:ascii="Times New Roman" w:hAnsi="Times New Roman" w:eastAsia="方正仿宋_GBK" w:cs="Times New Roman"/>
          <w:color w:val="000000"/>
          <w:sz w:val="33"/>
          <w:szCs w:val="33"/>
        </w:rPr>
        <w:t>金缴费、其他社会保障缴费、其他工资福利支出、离休费、退休费、抚恤金、生活补助、医疗费补助、奖励金、住房公积金、其他对个人和家庭的补助支出等。</w:t>
      </w:r>
      <w:r>
        <w:rPr>
          <w:rFonts w:hint="default" w:ascii="Times New Roman" w:hAnsi="Times New Roman" w:eastAsia="方正仿宋_GBK" w:cs="Times New Roman"/>
          <w:color w:val="000000"/>
          <w:sz w:val="33"/>
          <w:szCs w:val="33"/>
        </w:rPr>
        <w:br w:type="textWrapping"/>
      </w:r>
      <w:r>
        <w:rPr>
          <w:rFonts w:hint="default" w:ascii="Times New Roman" w:hAnsi="Times New Roman" w:eastAsia="方正仿宋_GBK" w:cs="Times New Roman"/>
          <w:color w:val="000000"/>
          <w:sz w:val="33"/>
          <w:szCs w:val="33"/>
        </w:rPr>
        <w:t>　　日常公用经费</w:t>
      </w:r>
      <w:r>
        <w:rPr>
          <w:rFonts w:hint="eastAsia" w:eastAsia="方正仿宋_GBK" w:cs="Times New Roman"/>
          <w:color w:val="000000"/>
          <w:sz w:val="33"/>
          <w:szCs w:val="33"/>
          <w:lang w:val="en-US" w:eastAsia="zh-CN"/>
        </w:rPr>
        <w:t>357.83</w:t>
      </w:r>
      <w:r>
        <w:rPr>
          <w:rFonts w:hint="default" w:ascii="Times New Roman" w:hAnsi="Times New Roman" w:eastAsia="方正仿宋_GBK" w:cs="Times New Roman"/>
          <w:color w:val="000000"/>
          <w:sz w:val="33"/>
          <w:szCs w:val="33"/>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777820A">
      <w:pPr>
        <w:numPr>
          <w:ilvl w:val="0"/>
          <w:numId w:val="0"/>
        </w:numPr>
        <w:spacing w:line="600" w:lineRule="exact"/>
        <w:ind w:firstLine="660" w:firstLineChars="200"/>
        <w:outlineLvl w:val="1"/>
        <w:rPr>
          <w:rFonts w:hint="eastAsia" w:ascii="方正黑体_GBK" w:hAnsi="方正黑体_GBK" w:eastAsia="方正黑体_GBK" w:cs="方正黑体_GBK"/>
          <w:b w:val="0"/>
          <w:bCs/>
          <w:color w:val="000000"/>
          <w:sz w:val="33"/>
          <w:szCs w:val="33"/>
        </w:rPr>
      </w:pPr>
      <w:bookmarkStart w:id="51" w:name="_Toc688446888"/>
      <w:bookmarkStart w:id="52" w:name="_Toc15396609"/>
      <w:bookmarkStart w:id="53" w:name="_Toc15377215"/>
      <w:r>
        <w:rPr>
          <w:rFonts w:hint="eastAsia" w:ascii="方正黑体_GBK" w:hAnsi="方正黑体_GBK" w:eastAsia="方正黑体_GBK" w:cs="方正黑体_GBK"/>
          <w:b w:val="0"/>
          <w:bCs/>
          <w:color w:val="000000"/>
          <w:sz w:val="33"/>
          <w:szCs w:val="33"/>
          <w:lang w:eastAsia="zh-CN"/>
        </w:rPr>
        <w:t>七</w:t>
      </w:r>
      <w:r>
        <w:rPr>
          <w:rFonts w:hint="eastAsia" w:ascii="方正黑体_GBK" w:hAnsi="方正黑体_GBK" w:eastAsia="方正黑体_GBK" w:cs="方正黑体_GBK"/>
          <w:b w:val="0"/>
          <w:bCs/>
          <w:color w:val="000000"/>
          <w:sz w:val="33"/>
          <w:szCs w:val="33"/>
        </w:rPr>
        <w:t>、“三公”经费财政拨款支出决算情况说明</w:t>
      </w:r>
      <w:bookmarkEnd w:id="51"/>
      <w:bookmarkEnd w:id="52"/>
      <w:bookmarkEnd w:id="53"/>
    </w:p>
    <w:p w14:paraId="30DE83F1">
      <w:pPr>
        <w:spacing w:line="600" w:lineRule="exact"/>
        <w:ind w:firstLine="640"/>
        <w:outlineLvl w:val="2"/>
        <w:rPr>
          <w:rFonts w:hint="eastAsia" w:ascii="方正楷体_GBK" w:hAnsi="方正楷体_GBK" w:eastAsia="方正楷体_GBK" w:cs="方正楷体_GBK"/>
          <w:b/>
          <w:color w:val="000000"/>
          <w:sz w:val="33"/>
          <w:szCs w:val="33"/>
        </w:rPr>
      </w:pPr>
      <w:bookmarkStart w:id="54" w:name="_Toc15377216"/>
      <w:bookmarkStart w:id="55" w:name="_Toc140094254"/>
      <w:r>
        <w:rPr>
          <w:rFonts w:hint="eastAsia" w:ascii="方正楷体_GBK" w:hAnsi="方正楷体_GBK" w:eastAsia="方正楷体_GBK" w:cs="方正楷体_GBK"/>
          <w:b/>
          <w:color w:val="000000"/>
          <w:sz w:val="33"/>
          <w:szCs w:val="33"/>
        </w:rPr>
        <w:t>（一）“三公”经费财政拨款支出决算总体情况说明</w:t>
      </w:r>
      <w:bookmarkEnd w:id="54"/>
      <w:bookmarkEnd w:id="55"/>
    </w:p>
    <w:p w14:paraId="564854DD">
      <w:pPr>
        <w:spacing w:line="600" w:lineRule="exact"/>
        <w:ind w:firstLine="645"/>
        <w:rPr>
          <w:rFonts w:hint="default" w:ascii="Times New Roman" w:hAnsi="Times New Roman" w:eastAsia="方正仿宋_GBK" w:cs="Times New Roman"/>
          <w:color w:val="000000"/>
          <w:sz w:val="33"/>
          <w:szCs w:val="33"/>
        </w:rPr>
      </w:pPr>
      <w:r>
        <w:rPr>
          <w:rFonts w:hint="eastAsia" w:eastAsia="方正仿宋_GBK" w:cs="Times New Roman"/>
          <w:color w:val="000000"/>
          <w:sz w:val="33"/>
          <w:szCs w:val="33"/>
          <w:lang w:eastAsia="zh-CN"/>
        </w:rPr>
        <w:t>2024年度</w:t>
      </w:r>
      <w:r>
        <w:rPr>
          <w:rFonts w:hint="eastAsia" w:ascii="Times New Roman" w:hAnsi="Times New Roman" w:eastAsia="方正仿宋_GBK" w:cs="Times New Roman"/>
          <w:color w:val="000000"/>
          <w:sz w:val="33"/>
          <w:szCs w:val="33"/>
        </w:rPr>
        <w:t>“三公”经费财政拨款支出决算为</w:t>
      </w:r>
      <w:r>
        <w:rPr>
          <w:rFonts w:hint="eastAsia" w:eastAsia="方正仿宋_GBK" w:cs="Times New Roman"/>
          <w:color w:val="000000"/>
          <w:sz w:val="33"/>
          <w:szCs w:val="33"/>
          <w:lang w:val="en-US" w:eastAsia="zh-CN"/>
        </w:rPr>
        <w:t>9.11万元，</w:t>
      </w:r>
      <w:r>
        <w:rPr>
          <w:rFonts w:hint="eastAsia" w:ascii="Times New Roman" w:hAnsi="Times New Roman" w:eastAsia="方正仿宋_GBK" w:cs="Times New Roman"/>
          <w:color w:val="000000"/>
          <w:sz w:val="33"/>
          <w:szCs w:val="33"/>
          <w:lang w:eastAsia="zh-CN"/>
        </w:rPr>
        <w:t>完成预算</w:t>
      </w:r>
      <w:r>
        <w:rPr>
          <w:rFonts w:hint="eastAsia" w:eastAsia="方正仿宋_GBK" w:cs="Times New Roman"/>
          <w:color w:val="000000"/>
          <w:sz w:val="33"/>
          <w:szCs w:val="33"/>
          <w:lang w:val="en-US" w:eastAsia="zh-CN"/>
        </w:rPr>
        <w:t>76.9</w:t>
      </w:r>
      <w:r>
        <w:rPr>
          <w:rFonts w:hint="eastAsia" w:ascii="Times New Roman" w:hAnsi="Times New Roman" w:eastAsia="方正仿宋_GBK" w:cs="Times New Roman"/>
          <w:color w:val="000000"/>
          <w:sz w:val="33"/>
          <w:szCs w:val="33"/>
          <w:lang w:eastAsia="zh-CN"/>
        </w:rPr>
        <w:t>%</w:t>
      </w:r>
      <w:r>
        <w:rPr>
          <w:rFonts w:hint="eastAsia" w:eastAsia="方正仿宋_GBK" w:cs="Times New Roman"/>
          <w:color w:val="000000"/>
          <w:sz w:val="33"/>
          <w:szCs w:val="33"/>
          <w:lang w:eastAsia="zh-CN"/>
        </w:rPr>
        <w:t>，</w:t>
      </w:r>
      <w:r>
        <w:rPr>
          <w:rFonts w:hint="eastAsia" w:ascii="Times New Roman" w:hAnsi="Times New Roman" w:eastAsia="方正仿宋_GBK" w:cs="Times New Roman"/>
          <w:color w:val="000000"/>
          <w:sz w:val="33"/>
          <w:szCs w:val="33"/>
          <w:lang w:eastAsia="zh-CN"/>
        </w:rPr>
        <w:t>较上</w:t>
      </w:r>
      <w:r>
        <w:rPr>
          <w:rFonts w:hint="eastAsia" w:eastAsia="方正仿宋_GBK" w:cs="Times New Roman"/>
          <w:color w:val="000000"/>
          <w:sz w:val="33"/>
          <w:szCs w:val="33"/>
          <w:lang w:eastAsia="zh-CN"/>
        </w:rPr>
        <w:t>年度</w:t>
      </w:r>
      <w:r>
        <w:rPr>
          <w:rFonts w:hint="eastAsia" w:eastAsia="方正仿宋_GBK" w:cs="Times New Roman"/>
          <w:color w:val="000000"/>
          <w:sz w:val="33"/>
          <w:szCs w:val="33"/>
          <w:lang w:val="en-US" w:eastAsia="zh-CN"/>
        </w:rPr>
        <w:t>9.07万元增加0.04</w:t>
      </w:r>
      <w:r>
        <w:rPr>
          <w:rFonts w:hint="eastAsia" w:ascii="Times New Roman" w:hAnsi="Times New Roman" w:eastAsia="方正仿宋_GBK" w:cs="Times New Roman"/>
          <w:color w:val="000000"/>
          <w:sz w:val="33"/>
          <w:szCs w:val="33"/>
          <w:lang w:eastAsia="zh-CN"/>
        </w:rPr>
        <w:t>万元，</w:t>
      </w:r>
      <w:r>
        <w:rPr>
          <w:rFonts w:hint="eastAsia" w:eastAsia="方正仿宋_GBK" w:cs="Times New Roman"/>
          <w:color w:val="000000"/>
          <w:sz w:val="33"/>
          <w:szCs w:val="33"/>
          <w:lang w:val="en-US" w:eastAsia="zh-CN"/>
        </w:rPr>
        <w:t>增加0.04</w:t>
      </w:r>
      <w:r>
        <w:rPr>
          <w:rFonts w:hint="eastAsia" w:ascii="Times New Roman" w:hAnsi="Times New Roman" w:eastAsia="方正仿宋_GBK" w:cs="Times New Roman"/>
          <w:color w:val="000000"/>
          <w:sz w:val="33"/>
          <w:szCs w:val="33"/>
          <w:lang w:eastAsia="zh-CN"/>
        </w:rPr>
        <w:t>%。决算数小于预算数的主要原因是树牢“过紧日子”思想，全力贯彻厉行节约。</w:t>
      </w:r>
    </w:p>
    <w:p w14:paraId="5CDFEA22">
      <w:pPr>
        <w:spacing w:line="600" w:lineRule="exact"/>
        <w:ind w:firstLine="640"/>
        <w:outlineLvl w:val="2"/>
        <w:rPr>
          <w:rFonts w:hint="eastAsia" w:ascii="方正楷体_GBK" w:hAnsi="方正楷体_GBK" w:eastAsia="方正楷体_GBK" w:cs="方正楷体_GBK"/>
          <w:b/>
          <w:color w:val="000000"/>
          <w:sz w:val="33"/>
          <w:szCs w:val="33"/>
        </w:rPr>
      </w:pPr>
      <w:bookmarkStart w:id="56" w:name="_Toc1424016547"/>
      <w:bookmarkStart w:id="57" w:name="_Toc15377217"/>
      <w:r>
        <w:rPr>
          <w:rFonts w:hint="eastAsia" w:ascii="方正楷体_GBK" w:hAnsi="方正楷体_GBK" w:eastAsia="方正楷体_GBK" w:cs="方正楷体_GBK"/>
          <w:b/>
          <w:color w:val="000000"/>
          <w:sz w:val="33"/>
          <w:szCs w:val="33"/>
        </w:rPr>
        <w:t>（二）“三公”经费财政拨款支出决算具体情况说明</w:t>
      </w:r>
      <w:bookmarkEnd w:id="56"/>
      <w:bookmarkEnd w:id="57"/>
    </w:p>
    <w:p w14:paraId="0ED85117">
      <w:pPr>
        <w:spacing w:line="600" w:lineRule="exact"/>
        <w:ind w:firstLine="645"/>
        <w:rPr>
          <w:rFonts w:hint="eastAsia" w:ascii="仿宋" w:hAnsi="仿宋" w:eastAsia="仿宋"/>
          <w:color w:val="000000"/>
          <w:sz w:val="32"/>
          <w:szCs w:val="32"/>
        </w:rPr>
      </w:pPr>
      <w:r>
        <w:rPr>
          <w:rFonts w:hint="eastAsia" w:eastAsia="方正仿宋_GBK" w:cs="Times New Roman"/>
          <w:color w:val="000000"/>
          <w:sz w:val="33"/>
          <w:szCs w:val="33"/>
          <w:lang w:eastAsia="zh-CN"/>
        </w:rPr>
        <w:t>2024年度</w:t>
      </w:r>
      <w:r>
        <w:rPr>
          <w:rFonts w:hint="eastAsia" w:ascii="Times New Roman" w:hAnsi="Times New Roman" w:eastAsia="方正仿宋_GBK" w:cs="Times New Roman"/>
          <w:color w:val="000000"/>
          <w:sz w:val="33"/>
          <w:szCs w:val="33"/>
        </w:rPr>
        <w:t>“三公”经费财政拨款支出决算中，因公出国（境）费支出决算</w:t>
      </w:r>
      <w:r>
        <w:rPr>
          <w:rFonts w:hint="eastAsia" w:ascii="Times New Roman" w:hAnsi="Times New Roman" w:eastAsia="方正仿宋_GBK" w:cs="Times New Roman"/>
          <w:color w:val="000000"/>
          <w:sz w:val="33"/>
          <w:szCs w:val="33"/>
          <w:lang w:val="en-US" w:eastAsia="zh-CN"/>
        </w:rPr>
        <w:t>0</w:t>
      </w:r>
      <w:r>
        <w:rPr>
          <w:rFonts w:hint="eastAsia" w:ascii="Times New Roman" w:hAnsi="Times New Roman" w:eastAsia="方正仿宋_GBK" w:cs="Times New Roman"/>
          <w:color w:val="000000"/>
          <w:sz w:val="33"/>
          <w:szCs w:val="33"/>
        </w:rPr>
        <w:t>万元，占</w:t>
      </w:r>
      <w:r>
        <w:rPr>
          <w:rFonts w:hint="eastAsia" w:ascii="Times New Roman" w:hAnsi="Times New Roman" w:eastAsia="方正仿宋_GBK" w:cs="Times New Roman"/>
          <w:color w:val="000000"/>
          <w:sz w:val="33"/>
          <w:szCs w:val="33"/>
          <w:lang w:val="en-US" w:eastAsia="zh-CN"/>
        </w:rPr>
        <w:t>0</w:t>
      </w:r>
      <w:r>
        <w:rPr>
          <w:rFonts w:hint="default"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rPr>
        <w:t>；公务用车购置及运行维护费支出决算</w:t>
      </w:r>
      <w:r>
        <w:rPr>
          <w:rFonts w:hint="eastAsia" w:eastAsia="方正仿宋_GBK" w:cs="Times New Roman"/>
          <w:color w:val="000000"/>
          <w:sz w:val="33"/>
          <w:szCs w:val="33"/>
          <w:lang w:val="en-US" w:eastAsia="zh-CN"/>
        </w:rPr>
        <w:t>8.58</w:t>
      </w:r>
      <w:r>
        <w:rPr>
          <w:rFonts w:hint="eastAsia" w:ascii="Times New Roman" w:hAnsi="Times New Roman" w:eastAsia="方正仿宋_GBK" w:cs="Times New Roman"/>
          <w:color w:val="000000"/>
          <w:sz w:val="33"/>
          <w:szCs w:val="33"/>
        </w:rPr>
        <w:t>万元，占</w:t>
      </w:r>
      <w:r>
        <w:rPr>
          <w:rFonts w:hint="eastAsia" w:eastAsia="方正仿宋_GBK" w:cs="Times New Roman"/>
          <w:color w:val="000000"/>
          <w:sz w:val="33"/>
          <w:szCs w:val="33"/>
          <w:lang w:val="en-US" w:eastAsia="zh-CN"/>
        </w:rPr>
        <w:t>94.2</w:t>
      </w:r>
      <w:r>
        <w:rPr>
          <w:rFonts w:hint="default"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rPr>
        <w:t>；公务接待费支出决算</w:t>
      </w:r>
      <w:r>
        <w:rPr>
          <w:rFonts w:hint="eastAsia" w:ascii="Times New Roman" w:hAnsi="Times New Roman" w:eastAsia="方正仿宋_GBK" w:cs="Times New Roman"/>
          <w:color w:val="000000"/>
          <w:sz w:val="33"/>
          <w:szCs w:val="33"/>
          <w:lang w:val="en-US" w:eastAsia="zh-CN"/>
        </w:rPr>
        <w:t>0.</w:t>
      </w:r>
      <w:r>
        <w:rPr>
          <w:rFonts w:hint="eastAsia" w:eastAsia="方正仿宋_GBK" w:cs="Times New Roman"/>
          <w:color w:val="000000"/>
          <w:sz w:val="33"/>
          <w:szCs w:val="33"/>
          <w:lang w:val="en-US" w:eastAsia="zh-CN"/>
        </w:rPr>
        <w:t>53</w:t>
      </w:r>
      <w:r>
        <w:rPr>
          <w:rFonts w:hint="eastAsia" w:ascii="Times New Roman" w:hAnsi="Times New Roman" w:eastAsia="方正仿宋_GBK" w:cs="Times New Roman"/>
          <w:color w:val="000000"/>
          <w:sz w:val="33"/>
          <w:szCs w:val="33"/>
        </w:rPr>
        <w:t>万元，占</w:t>
      </w:r>
      <w:r>
        <w:rPr>
          <w:rFonts w:hint="eastAsia" w:eastAsia="方正仿宋_GBK" w:cs="Times New Roman"/>
          <w:color w:val="000000"/>
          <w:sz w:val="33"/>
          <w:szCs w:val="33"/>
          <w:lang w:val="en-US" w:eastAsia="zh-CN"/>
        </w:rPr>
        <w:t>5.8</w:t>
      </w:r>
      <w:r>
        <w:rPr>
          <w:rFonts w:hint="default"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rPr>
        <w:t>。具体情况如下：</w:t>
      </w:r>
    </w:p>
    <w:p w14:paraId="0803DDA9">
      <w:pPr>
        <w:jc w:val="center"/>
        <w:rPr>
          <w:rFonts w:hint="eastAsia" w:ascii="仿宋" w:hAnsi="仿宋" w:eastAsia="仿宋"/>
          <w:color w:val="000000"/>
          <w:sz w:val="32"/>
          <w:szCs w:val="32"/>
          <w:lang w:val="en-US" w:eastAsia="zh-CN"/>
        </w:rPr>
      </w:pPr>
      <w:r>
        <w:drawing>
          <wp:inline distT="0" distB="0" distL="114300" distR="114300">
            <wp:extent cx="3963035" cy="1762760"/>
            <wp:effectExtent l="4445" t="4445" r="10160" b="15875"/>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43F57E">
      <w:pPr>
        <w:jc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（图7：“三公”经费财政拨款支出结构）（饼状图）</w:t>
      </w:r>
    </w:p>
    <w:p w14:paraId="1CD75F7C">
      <w:pPr>
        <w:spacing w:line="600" w:lineRule="exact"/>
        <w:ind w:firstLine="640"/>
        <w:rPr>
          <w:rFonts w:hint="default" w:ascii="Times New Roman" w:hAnsi="Times New Roman" w:eastAsia="方正仿宋_GBK" w:cs="Times New Roman"/>
          <w:color w:val="000000"/>
          <w:sz w:val="33"/>
          <w:szCs w:val="33"/>
        </w:rPr>
      </w:pPr>
      <w:r>
        <w:rPr>
          <w:rFonts w:hint="default" w:ascii="Times New Roman" w:hAnsi="Times New Roman" w:eastAsia="方正楷体_GBK" w:cs="Times New Roman"/>
          <w:b/>
          <w:color w:val="000000"/>
          <w:sz w:val="33"/>
          <w:szCs w:val="33"/>
        </w:rPr>
        <w:t>1.因公出国（境）经费支出</w:t>
      </w:r>
      <w:r>
        <w:rPr>
          <w:rFonts w:hint="eastAsia" w:ascii="Times New Roman" w:hAnsi="Times New Roman" w:eastAsia="方正仿宋_GBK" w:cs="Times New Roman"/>
          <w:color w:val="000000"/>
          <w:sz w:val="33"/>
          <w:szCs w:val="33"/>
          <w:lang w:val="en-US" w:eastAsia="zh-CN"/>
        </w:rPr>
        <w:t>0</w:t>
      </w:r>
      <w:r>
        <w:rPr>
          <w:rFonts w:hint="eastAsia" w:ascii="Times New Roman" w:hAnsi="Times New Roman" w:eastAsia="方正仿宋_GBK" w:cs="Times New Roman"/>
          <w:color w:val="000000"/>
          <w:sz w:val="33"/>
          <w:szCs w:val="33"/>
        </w:rPr>
        <w:t>万元，</w:t>
      </w:r>
      <w:r>
        <w:rPr>
          <w:rFonts w:hint="eastAsia" w:eastAsia="方正仿宋_GBK" w:cs="Times New Roman"/>
          <w:color w:val="000000"/>
          <w:sz w:val="33"/>
          <w:szCs w:val="33"/>
          <w:lang w:eastAsia="zh-CN"/>
        </w:rPr>
        <w:t>预算为</w:t>
      </w:r>
      <w:r>
        <w:rPr>
          <w:rFonts w:hint="eastAsia" w:eastAsia="方正仿宋_GBK" w:cs="Times New Roman"/>
          <w:color w:val="000000"/>
          <w:sz w:val="33"/>
          <w:szCs w:val="33"/>
          <w:lang w:val="en-US" w:eastAsia="zh-CN"/>
        </w:rPr>
        <w:t>0，</w:t>
      </w:r>
      <w:r>
        <w:rPr>
          <w:rFonts w:hint="eastAsia" w:eastAsia="方正仿宋_GBK" w:cs="Times New Roman"/>
          <w:color w:val="000000"/>
          <w:sz w:val="33"/>
          <w:szCs w:val="33"/>
          <w:lang w:eastAsia="zh-CN"/>
        </w:rPr>
        <w:t>无决算，</w:t>
      </w:r>
      <w:r>
        <w:rPr>
          <w:rFonts w:hint="eastAsia" w:ascii="Times New Roman" w:hAnsi="Times New Roman" w:eastAsia="方正仿宋_GBK" w:cs="Times New Roman"/>
          <w:color w:val="000000"/>
          <w:sz w:val="33"/>
          <w:szCs w:val="33"/>
        </w:rPr>
        <w:t>完成预算</w:t>
      </w:r>
      <w:r>
        <w:rPr>
          <w:rFonts w:hint="eastAsia" w:ascii="Times New Roman" w:hAnsi="Times New Roman" w:eastAsia="方正仿宋_GBK" w:cs="Times New Roman"/>
          <w:color w:val="000000"/>
          <w:sz w:val="33"/>
          <w:szCs w:val="33"/>
          <w:lang w:val="en-US" w:eastAsia="zh-CN"/>
        </w:rPr>
        <w:t>0</w:t>
      </w:r>
      <w:r>
        <w:rPr>
          <w:rFonts w:hint="default"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rPr>
        <w:t>。因公出国（境）支出决算</w:t>
      </w:r>
      <w:r>
        <w:rPr>
          <w:rFonts w:hint="eastAsia" w:eastAsia="方正仿宋_GBK" w:cs="Times New Roman"/>
          <w:color w:val="000000"/>
          <w:sz w:val="33"/>
          <w:szCs w:val="33"/>
          <w:lang w:eastAsia="zh-CN"/>
        </w:rPr>
        <w:t>与2023年</w:t>
      </w:r>
      <w:r>
        <w:rPr>
          <w:rFonts w:hint="eastAsia" w:ascii="Times New Roman" w:hAnsi="Times New Roman" w:eastAsia="方正仿宋_GBK" w:cs="Times New Roman"/>
          <w:color w:val="000000"/>
          <w:sz w:val="33"/>
          <w:szCs w:val="33"/>
        </w:rPr>
        <w:t>度</w:t>
      </w:r>
      <w:r>
        <w:rPr>
          <w:rFonts w:hint="eastAsia" w:eastAsia="方正仿宋_GBK" w:cs="Times New Roman"/>
          <w:color w:val="000000"/>
          <w:sz w:val="33"/>
          <w:szCs w:val="33"/>
          <w:lang w:eastAsia="zh-CN"/>
        </w:rPr>
        <w:t>持平，皆为</w:t>
      </w:r>
      <w:r>
        <w:rPr>
          <w:rFonts w:hint="eastAsia" w:eastAsia="方正仿宋_GBK" w:cs="Times New Roman"/>
          <w:color w:val="000000"/>
          <w:sz w:val="33"/>
          <w:szCs w:val="33"/>
          <w:lang w:val="en-US" w:eastAsia="zh-CN"/>
        </w:rPr>
        <w:t>0</w:t>
      </w:r>
      <w:r>
        <w:rPr>
          <w:rFonts w:hint="eastAsia" w:ascii="Times New Roman" w:hAnsi="Times New Roman" w:eastAsia="方正仿宋_GBK" w:cs="Times New Roman"/>
          <w:color w:val="000000"/>
          <w:sz w:val="33"/>
          <w:szCs w:val="33"/>
        </w:rPr>
        <w:t>万元。</w:t>
      </w:r>
    </w:p>
    <w:p w14:paraId="0CC718D3">
      <w:pPr>
        <w:spacing w:line="600" w:lineRule="exact"/>
        <w:ind w:firstLine="640"/>
        <w:rPr>
          <w:rFonts w:hint="default" w:ascii="Times New Roman" w:hAnsi="Times New Roman" w:eastAsia="方正仿宋_GBK" w:cs="Times New Roman"/>
          <w:color w:val="000000"/>
          <w:sz w:val="33"/>
          <w:szCs w:val="33"/>
        </w:rPr>
      </w:pPr>
      <w:r>
        <w:rPr>
          <w:rFonts w:hint="default" w:ascii="Times New Roman" w:hAnsi="Times New Roman" w:eastAsia="方正楷体_GBK" w:cs="Times New Roman"/>
          <w:b/>
          <w:color w:val="000000"/>
          <w:sz w:val="33"/>
          <w:szCs w:val="33"/>
        </w:rPr>
        <w:t>2.</w:t>
      </w:r>
      <w:r>
        <w:rPr>
          <w:rFonts w:hint="eastAsia" w:ascii="Times New Roman" w:hAnsi="Times New Roman" w:eastAsia="方正楷体_GBK" w:cs="Times New Roman"/>
          <w:b/>
          <w:color w:val="000000"/>
          <w:sz w:val="33"/>
          <w:szCs w:val="33"/>
        </w:rPr>
        <w:t>公务用车购置及运行维护费支出</w:t>
      </w:r>
      <w:r>
        <w:rPr>
          <w:rFonts w:hint="eastAsia" w:eastAsia="方正仿宋_GBK" w:cs="Times New Roman"/>
          <w:color w:val="000000"/>
          <w:sz w:val="33"/>
          <w:szCs w:val="33"/>
          <w:lang w:val="en-US" w:eastAsia="zh-CN"/>
        </w:rPr>
        <w:t>8.58</w:t>
      </w:r>
      <w:r>
        <w:rPr>
          <w:rFonts w:hint="eastAsia" w:ascii="Times New Roman" w:hAnsi="Times New Roman" w:eastAsia="方正仿宋_GBK" w:cs="Times New Roman"/>
          <w:color w:val="000000"/>
          <w:sz w:val="33"/>
          <w:szCs w:val="33"/>
        </w:rPr>
        <w:t>万元</w:t>
      </w:r>
      <w:r>
        <w:rPr>
          <w:rFonts w:hint="eastAsia" w:eastAsia="方正仿宋_GBK" w:cs="Times New Roman"/>
          <w:color w:val="000000"/>
          <w:sz w:val="33"/>
          <w:szCs w:val="33"/>
          <w:lang w:eastAsia="zh-CN"/>
        </w:rPr>
        <w:t>，</w:t>
      </w:r>
      <w:r>
        <w:rPr>
          <w:rFonts w:hint="eastAsia" w:ascii="Times New Roman" w:hAnsi="Times New Roman" w:eastAsia="方正仿宋_GBK" w:cs="Times New Roman"/>
          <w:color w:val="000000"/>
          <w:sz w:val="33"/>
          <w:szCs w:val="33"/>
        </w:rPr>
        <w:t>完成预算</w:t>
      </w:r>
      <w:r>
        <w:rPr>
          <w:rFonts w:hint="eastAsia" w:ascii="Times New Roman" w:hAnsi="Times New Roman" w:eastAsia="方正仿宋_GBK" w:cs="Times New Roman"/>
          <w:color w:val="000000"/>
          <w:sz w:val="33"/>
          <w:szCs w:val="33"/>
          <w:lang w:val="en-US" w:eastAsia="zh-CN"/>
        </w:rPr>
        <w:t>100</w:t>
      </w:r>
      <w:r>
        <w:rPr>
          <w:rFonts w:hint="default"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rPr>
        <w:t>。公务用车购置及运行维护费支出决算比</w:t>
      </w:r>
      <w:r>
        <w:rPr>
          <w:rFonts w:hint="eastAsia" w:eastAsia="方正仿宋_GBK" w:cs="Times New Roman"/>
          <w:color w:val="000000"/>
          <w:sz w:val="33"/>
          <w:szCs w:val="33"/>
          <w:lang w:eastAsia="zh-CN"/>
        </w:rPr>
        <w:t>2023年度</w:t>
      </w:r>
      <w:r>
        <w:rPr>
          <w:rFonts w:hint="eastAsia" w:eastAsia="方正仿宋_GBK" w:cs="Times New Roman"/>
          <w:color w:val="000000"/>
          <w:sz w:val="33"/>
          <w:szCs w:val="33"/>
          <w:lang w:val="en-US" w:eastAsia="zh-CN"/>
        </w:rPr>
        <w:t>8.51</w:t>
      </w:r>
      <w:r>
        <w:rPr>
          <w:rFonts w:hint="eastAsia" w:ascii="Times New Roman" w:hAnsi="Times New Roman" w:eastAsia="方正仿宋_GBK" w:cs="Times New Roman"/>
          <w:color w:val="000000"/>
          <w:sz w:val="33"/>
          <w:szCs w:val="33"/>
        </w:rPr>
        <w:t>万元</w:t>
      </w:r>
      <w:r>
        <w:rPr>
          <w:rFonts w:hint="eastAsia" w:eastAsia="方正仿宋_GBK" w:cs="Times New Roman"/>
          <w:color w:val="000000"/>
          <w:sz w:val="33"/>
          <w:szCs w:val="33"/>
          <w:lang w:val="en-US" w:eastAsia="zh-CN"/>
        </w:rPr>
        <w:t>增加0.07</w:t>
      </w:r>
      <w:r>
        <w:rPr>
          <w:rFonts w:hint="eastAsia" w:ascii="Times New Roman" w:hAnsi="Times New Roman" w:eastAsia="方正仿宋_GBK" w:cs="Times New Roman"/>
          <w:color w:val="000000"/>
          <w:sz w:val="33"/>
          <w:szCs w:val="33"/>
        </w:rPr>
        <w:t>万元，</w:t>
      </w:r>
      <w:r>
        <w:rPr>
          <w:rFonts w:hint="eastAsia" w:eastAsia="方正仿宋_GBK" w:cs="Times New Roman"/>
          <w:color w:val="000000"/>
          <w:sz w:val="33"/>
          <w:szCs w:val="33"/>
          <w:lang w:val="en-US" w:eastAsia="zh-CN"/>
        </w:rPr>
        <w:t>增加0.8</w:t>
      </w:r>
      <w:r>
        <w:rPr>
          <w:rFonts w:hint="default" w:ascii="Times New Roman" w:hAnsi="Times New Roman" w:eastAsia="方正仿宋_GBK" w:cs="Times New Roman"/>
          <w:color w:val="000000"/>
          <w:sz w:val="33"/>
          <w:szCs w:val="33"/>
        </w:rPr>
        <w:t>%</w:t>
      </w:r>
      <w:r>
        <w:rPr>
          <w:rFonts w:hint="eastAsia" w:eastAsia="方正仿宋_GBK" w:cs="Times New Roman"/>
          <w:color w:val="000000"/>
          <w:sz w:val="33"/>
          <w:szCs w:val="33"/>
          <w:lang w:eastAsia="zh-CN"/>
        </w:rPr>
        <w:t>，</w:t>
      </w:r>
      <w:r>
        <w:rPr>
          <w:rFonts w:hint="eastAsia" w:ascii="Times New Roman" w:hAnsi="Times New Roman" w:eastAsia="方正仿宋_GBK" w:cs="Times New Roman"/>
          <w:color w:val="000000"/>
          <w:sz w:val="33"/>
          <w:szCs w:val="33"/>
        </w:rPr>
        <w:t>主要原因是</w:t>
      </w:r>
      <w:r>
        <w:rPr>
          <w:rFonts w:hint="eastAsia" w:eastAsia="方正仿宋_GBK" w:cs="Times New Roman"/>
          <w:color w:val="000000"/>
          <w:sz w:val="33"/>
          <w:szCs w:val="33"/>
          <w:lang w:val="en-US" w:eastAsia="zh-CN"/>
        </w:rPr>
        <w:t>外出工作增加</w:t>
      </w:r>
      <w:r>
        <w:rPr>
          <w:rFonts w:hint="eastAsia" w:eastAsia="方正仿宋_GBK" w:cs="Times New Roman"/>
          <w:color w:val="000000"/>
          <w:sz w:val="33"/>
          <w:szCs w:val="33"/>
          <w:lang w:eastAsia="zh-CN"/>
        </w:rPr>
        <w:t>。</w:t>
      </w:r>
    </w:p>
    <w:p w14:paraId="7B8FF7A0">
      <w:pPr>
        <w:spacing w:line="600" w:lineRule="exact"/>
        <w:ind w:firstLine="660" w:firstLineChars="200"/>
        <w:rPr>
          <w:rFonts w:hint="eastAsia" w:ascii="仿宋_GB2312" w:eastAsia="仿宋_GB2312"/>
          <w:b/>
          <w:color w:val="000000"/>
          <w:sz w:val="32"/>
          <w:szCs w:val="32"/>
          <w:lang w:eastAsia="zh-CN"/>
        </w:rPr>
      </w:pPr>
      <w:r>
        <w:rPr>
          <w:rFonts w:hint="eastAsia" w:ascii="Times New Roman" w:hAnsi="Times New Roman" w:eastAsia="方正仿宋_GBK" w:cs="Times New Roman"/>
          <w:color w:val="000000"/>
          <w:sz w:val="33"/>
          <w:szCs w:val="33"/>
        </w:rPr>
        <w:t>其中：</w:t>
      </w:r>
      <w:r>
        <w:rPr>
          <w:rFonts w:hint="eastAsia" w:ascii="Times New Roman" w:hAnsi="Times New Roman" w:eastAsia="方正楷体_GBK" w:cs="Times New Roman"/>
          <w:b/>
          <w:color w:val="000000"/>
          <w:sz w:val="33"/>
          <w:szCs w:val="33"/>
        </w:rPr>
        <w:t>公务用车购置支出</w:t>
      </w:r>
      <w:r>
        <w:rPr>
          <w:rFonts w:hint="eastAsia" w:ascii="Times New Roman" w:hAnsi="Times New Roman" w:eastAsia="方正仿宋_GBK" w:cs="Times New Roman"/>
          <w:color w:val="000000"/>
          <w:sz w:val="33"/>
          <w:szCs w:val="33"/>
          <w:lang w:val="en-US" w:eastAsia="zh-CN"/>
        </w:rPr>
        <w:t>0</w:t>
      </w:r>
      <w:r>
        <w:rPr>
          <w:rFonts w:hint="eastAsia" w:ascii="Times New Roman" w:hAnsi="Times New Roman" w:eastAsia="方正仿宋_GBK" w:cs="Times New Roman"/>
          <w:color w:val="000000"/>
          <w:sz w:val="33"/>
          <w:szCs w:val="33"/>
        </w:rPr>
        <w:t>万元。</w:t>
      </w:r>
      <w:r>
        <w:rPr>
          <w:rFonts w:hint="eastAsia" w:ascii="Times New Roman" w:hAnsi="Times New Roman" w:eastAsia="方正仿宋_GBK" w:cs="Times New Roman"/>
          <w:color w:val="000000"/>
          <w:sz w:val="33"/>
          <w:szCs w:val="33"/>
          <w:lang w:eastAsia="zh-CN"/>
        </w:rPr>
        <w:t>全</w:t>
      </w:r>
      <w:r>
        <w:rPr>
          <w:rFonts w:hint="eastAsia" w:eastAsia="方正仿宋_GBK" w:cs="Times New Roman"/>
          <w:color w:val="000000"/>
          <w:sz w:val="33"/>
          <w:szCs w:val="33"/>
          <w:lang w:eastAsia="zh-CN"/>
        </w:rPr>
        <w:t>年度</w:t>
      </w:r>
      <w:r>
        <w:rPr>
          <w:rFonts w:hint="eastAsia" w:ascii="Times New Roman" w:hAnsi="Times New Roman" w:eastAsia="方正仿宋_GBK" w:cs="Times New Roman"/>
          <w:color w:val="000000"/>
          <w:sz w:val="33"/>
          <w:szCs w:val="33"/>
          <w:lang w:eastAsia="zh-CN"/>
        </w:rPr>
        <w:t>无新车购置。截至</w:t>
      </w:r>
      <w:r>
        <w:rPr>
          <w:rFonts w:hint="eastAsia" w:eastAsia="方正仿宋_GBK" w:cs="Times New Roman"/>
          <w:color w:val="000000"/>
          <w:sz w:val="33"/>
          <w:szCs w:val="33"/>
          <w:lang w:eastAsia="zh-CN"/>
        </w:rPr>
        <w:t>2024</w:t>
      </w:r>
      <w:r>
        <w:rPr>
          <w:rFonts w:hint="eastAsia" w:ascii="Times New Roman" w:hAnsi="Times New Roman" w:eastAsia="方正仿宋_GBK" w:cs="Times New Roman"/>
          <w:color w:val="000000"/>
          <w:sz w:val="33"/>
          <w:szCs w:val="33"/>
          <w:lang w:eastAsia="zh-CN"/>
        </w:rPr>
        <w:t>年12月31日，单位共有公务用车</w:t>
      </w:r>
      <w:r>
        <w:rPr>
          <w:rFonts w:hint="eastAsia" w:eastAsia="方正仿宋_GBK" w:cs="Times New Roman"/>
          <w:color w:val="000000"/>
          <w:sz w:val="33"/>
          <w:szCs w:val="33"/>
          <w:lang w:val="en-US" w:eastAsia="zh-CN"/>
        </w:rPr>
        <w:t>3</w:t>
      </w:r>
      <w:r>
        <w:rPr>
          <w:rFonts w:hint="eastAsia" w:ascii="Times New Roman" w:hAnsi="Times New Roman" w:eastAsia="方正仿宋_GBK" w:cs="Times New Roman"/>
          <w:color w:val="000000"/>
          <w:sz w:val="33"/>
          <w:szCs w:val="33"/>
          <w:lang w:eastAsia="zh-CN"/>
        </w:rPr>
        <w:t>辆，其中：轿车</w:t>
      </w:r>
      <w:r>
        <w:rPr>
          <w:rFonts w:hint="eastAsia" w:eastAsia="方正仿宋_GBK" w:cs="Times New Roman"/>
          <w:color w:val="000000"/>
          <w:sz w:val="33"/>
          <w:szCs w:val="33"/>
          <w:lang w:val="en-US" w:eastAsia="zh-CN"/>
        </w:rPr>
        <w:t>2</w:t>
      </w:r>
      <w:r>
        <w:rPr>
          <w:rFonts w:hint="eastAsia" w:ascii="Times New Roman" w:hAnsi="Times New Roman" w:eastAsia="方正仿宋_GBK" w:cs="Times New Roman"/>
          <w:color w:val="000000"/>
          <w:sz w:val="33"/>
          <w:szCs w:val="33"/>
          <w:lang w:eastAsia="zh-CN"/>
        </w:rPr>
        <w:t>辆、越野车</w:t>
      </w:r>
      <w:r>
        <w:rPr>
          <w:rFonts w:hint="eastAsia" w:eastAsia="方正仿宋_GBK" w:cs="Times New Roman"/>
          <w:color w:val="000000"/>
          <w:sz w:val="33"/>
          <w:szCs w:val="33"/>
          <w:lang w:val="en-US" w:eastAsia="zh-CN"/>
        </w:rPr>
        <w:t>1</w:t>
      </w:r>
      <w:r>
        <w:rPr>
          <w:rFonts w:hint="eastAsia" w:ascii="Times New Roman" w:hAnsi="Times New Roman" w:eastAsia="方正仿宋_GBK" w:cs="Times New Roman"/>
          <w:color w:val="000000"/>
          <w:sz w:val="33"/>
          <w:szCs w:val="33"/>
          <w:lang w:eastAsia="zh-CN"/>
        </w:rPr>
        <w:t>辆。</w:t>
      </w:r>
    </w:p>
    <w:p w14:paraId="0018C8E3">
      <w:pPr>
        <w:spacing w:line="600" w:lineRule="exact"/>
        <w:ind w:firstLine="640"/>
        <w:rPr>
          <w:rFonts w:hint="default" w:ascii="Times New Roman" w:hAnsi="Times New Roman" w:eastAsia="方正仿宋_GBK" w:cs="Times New Roman"/>
          <w:color w:val="000000"/>
          <w:sz w:val="33"/>
          <w:szCs w:val="33"/>
        </w:rPr>
      </w:pPr>
      <w:r>
        <w:rPr>
          <w:rFonts w:hint="eastAsia" w:ascii="Times New Roman" w:hAnsi="Times New Roman" w:eastAsia="方正楷体_GBK" w:cs="Times New Roman"/>
          <w:b/>
          <w:color w:val="000000"/>
          <w:sz w:val="33"/>
          <w:szCs w:val="33"/>
        </w:rPr>
        <w:t>公务用车运行维护费支出</w:t>
      </w:r>
      <w:r>
        <w:rPr>
          <w:rFonts w:hint="eastAsia" w:eastAsia="方正仿宋_GBK" w:cs="Times New Roman"/>
          <w:color w:val="000000"/>
          <w:sz w:val="33"/>
          <w:szCs w:val="33"/>
          <w:lang w:val="en-US" w:eastAsia="zh-CN"/>
        </w:rPr>
        <w:t>8.58</w:t>
      </w:r>
      <w:r>
        <w:rPr>
          <w:rFonts w:hint="eastAsia" w:ascii="Times New Roman" w:hAnsi="Times New Roman" w:eastAsia="方正仿宋_GBK" w:cs="Times New Roman"/>
          <w:color w:val="000000"/>
          <w:sz w:val="33"/>
          <w:szCs w:val="33"/>
        </w:rPr>
        <w:t>万元。主要用于</w:t>
      </w:r>
      <w:r>
        <w:rPr>
          <w:rFonts w:hint="eastAsia" w:ascii="Times New Roman" w:hAnsi="Times New Roman" w:eastAsia="方正仿宋_GBK" w:cs="Times New Roman"/>
          <w:color w:val="000000"/>
          <w:sz w:val="33"/>
          <w:szCs w:val="33"/>
          <w:lang w:eastAsia="zh-CN"/>
        </w:rPr>
        <w:t>权籍、交易现场复核</w:t>
      </w:r>
      <w:r>
        <w:rPr>
          <w:rFonts w:hint="eastAsia" w:ascii="Times New Roman" w:hAnsi="Times New Roman" w:eastAsia="方正仿宋_GBK" w:cs="Times New Roman"/>
          <w:color w:val="000000"/>
          <w:sz w:val="33"/>
          <w:szCs w:val="33"/>
        </w:rPr>
        <w:t>工作等所需的公务用车燃料费、维修费、过路过桥费、保险费</w:t>
      </w:r>
      <w:r>
        <w:rPr>
          <w:rFonts w:hint="eastAsia" w:eastAsia="方正仿宋_GBK" w:cs="Times New Roman"/>
          <w:color w:val="000000"/>
          <w:sz w:val="33"/>
          <w:szCs w:val="33"/>
          <w:lang w:eastAsia="zh-CN"/>
        </w:rPr>
        <w:t>、停车费</w:t>
      </w:r>
      <w:r>
        <w:rPr>
          <w:rFonts w:hint="eastAsia" w:ascii="Times New Roman" w:hAnsi="Times New Roman" w:eastAsia="方正仿宋_GBK" w:cs="Times New Roman"/>
          <w:color w:val="000000"/>
          <w:sz w:val="33"/>
          <w:szCs w:val="33"/>
        </w:rPr>
        <w:t>等支出。</w:t>
      </w:r>
    </w:p>
    <w:p w14:paraId="19888C75">
      <w:pPr>
        <w:spacing w:line="600" w:lineRule="exact"/>
        <w:ind w:firstLine="640"/>
        <w:rPr>
          <w:rFonts w:ascii="仿宋_GB2312" w:eastAsia="仿宋_GB2312"/>
          <w:color w:val="000000"/>
          <w:sz w:val="32"/>
          <w:szCs w:val="32"/>
        </w:rPr>
      </w:pPr>
      <w:r>
        <w:rPr>
          <w:rFonts w:hint="default" w:ascii="Times New Roman" w:hAnsi="Times New Roman" w:eastAsia="方正楷体_GBK" w:cs="Times New Roman"/>
          <w:b/>
          <w:color w:val="000000"/>
          <w:sz w:val="33"/>
          <w:szCs w:val="33"/>
        </w:rPr>
        <w:t>3.</w:t>
      </w:r>
      <w:r>
        <w:rPr>
          <w:rFonts w:hint="eastAsia" w:ascii="Times New Roman" w:hAnsi="Times New Roman" w:eastAsia="方正楷体_GBK" w:cs="Times New Roman"/>
          <w:b/>
          <w:color w:val="000000"/>
          <w:sz w:val="33"/>
          <w:szCs w:val="33"/>
        </w:rPr>
        <w:t>公务接待费支出</w:t>
      </w:r>
      <w:r>
        <w:rPr>
          <w:rFonts w:hint="eastAsia" w:ascii="Times New Roman" w:hAnsi="Times New Roman" w:eastAsia="方正仿宋_GBK" w:cs="Times New Roman"/>
          <w:color w:val="000000"/>
          <w:sz w:val="33"/>
          <w:szCs w:val="33"/>
          <w:lang w:val="en-US" w:eastAsia="zh-CN"/>
        </w:rPr>
        <w:t>0.</w:t>
      </w:r>
      <w:r>
        <w:rPr>
          <w:rFonts w:hint="eastAsia" w:eastAsia="方正仿宋_GBK" w:cs="Times New Roman"/>
          <w:color w:val="000000"/>
          <w:sz w:val="33"/>
          <w:szCs w:val="33"/>
          <w:lang w:val="en-US" w:eastAsia="zh-CN"/>
        </w:rPr>
        <w:t>53</w:t>
      </w:r>
      <w:r>
        <w:rPr>
          <w:rFonts w:hint="eastAsia" w:ascii="Times New Roman" w:hAnsi="Times New Roman" w:eastAsia="方正仿宋_GBK" w:cs="Times New Roman"/>
          <w:color w:val="000000"/>
          <w:sz w:val="33"/>
          <w:szCs w:val="33"/>
        </w:rPr>
        <w:t>万元，完成预算</w:t>
      </w:r>
      <w:r>
        <w:rPr>
          <w:rFonts w:hint="eastAsia" w:eastAsia="方正仿宋_GBK" w:cs="Times New Roman"/>
          <w:color w:val="000000"/>
          <w:sz w:val="33"/>
          <w:szCs w:val="33"/>
          <w:lang w:val="en-US" w:eastAsia="zh-CN"/>
        </w:rPr>
        <w:t>21</w:t>
      </w:r>
      <w:r>
        <w:rPr>
          <w:rFonts w:hint="default"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rPr>
        <w:t>。公务接待费支出决算比</w:t>
      </w:r>
      <w:r>
        <w:rPr>
          <w:rFonts w:hint="eastAsia" w:eastAsia="方正仿宋_GBK" w:cs="Times New Roman"/>
          <w:color w:val="000000"/>
          <w:sz w:val="33"/>
          <w:szCs w:val="33"/>
          <w:lang w:eastAsia="zh-CN"/>
        </w:rPr>
        <w:t>2023年度</w:t>
      </w:r>
      <w:r>
        <w:rPr>
          <w:rFonts w:hint="eastAsia" w:eastAsia="方正仿宋_GBK" w:cs="Times New Roman"/>
          <w:color w:val="000000"/>
          <w:sz w:val="33"/>
          <w:szCs w:val="33"/>
          <w:lang w:val="en-US" w:eastAsia="zh-CN"/>
        </w:rPr>
        <w:t>0.56</w:t>
      </w:r>
      <w:r>
        <w:rPr>
          <w:rFonts w:hint="eastAsia" w:ascii="Times New Roman" w:hAnsi="Times New Roman" w:eastAsia="方正仿宋_GBK" w:cs="Times New Roman"/>
          <w:color w:val="000000"/>
          <w:sz w:val="33"/>
          <w:szCs w:val="33"/>
        </w:rPr>
        <w:t>万元</w:t>
      </w:r>
      <w:r>
        <w:rPr>
          <w:rFonts w:hint="eastAsia" w:eastAsia="方正仿宋_GBK" w:cs="Times New Roman"/>
          <w:color w:val="000000"/>
          <w:sz w:val="33"/>
          <w:szCs w:val="33"/>
          <w:lang w:val="en-US" w:eastAsia="zh-CN"/>
        </w:rPr>
        <w:t>减少</w:t>
      </w:r>
      <w:r>
        <w:rPr>
          <w:rFonts w:hint="eastAsia" w:eastAsia="方正仿宋_GBK" w:cs="Times New Roman"/>
          <w:color w:val="000000"/>
          <w:sz w:val="33"/>
          <w:szCs w:val="33"/>
          <w:lang w:eastAsia="zh-CN"/>
        </w:rPr>
        <w:t>了</w:t>
      </w:r>
      <w:r>
        <w:rPr>
          <w:rFonts w:hint="eastAsia" w:ascii="Times New Roman" w:hAnsi="Times New Roman" w:eastAsia="方正仿宋_GBK" w:cs="Times New Roman"/>
          <w:color w:val="000000"/>
          <w:sz w:val="33"/>
          <w:szCs w:val="33"/>
          <w:lang w:val="en-US" w:eastAsia="zh-CN"/>
        </w:rPr>
        <w:t>0.</w:t>
      </w:r>
      <w:r>
        <w:rPr>
          <w:rFonts w:hint="eastAsia" w:eastAsia="方正仿宋_GBK" w:cs="Times New Roman"/>
          <w:color w:val="000000"/>
          <w:sz w:val="33"/>
          <w:szCs w:val="33"/>
          <w:lang w:val="en-US" w:eastAsia="zh-CN"/>
        </w:rPr>
        <w:t>03</w:t>
      </w:r>
      <w:r>
        <w:rPr>
          <w:rFonts w:hint="eastAsia" w:ascii="Times New Roman" w:hAnsi="Times New Roman" w:eastAsia="方正仿宋_GBK" w:cs="Times New Roman"/>
          <w:color w:val="000000"/>
          <w:sz w:val="33"/>
          <w:szCs w:val="33"/>
        </w:rPr>
        <w:t>万元，</w:t>
      </w:r>
      <w:r>
        <w:rPr>
          <w:rFonts w:hint="eastAsia" w:eastAsia="方正仿宋_GBK" w:cs="Times New Roman"/>
          <w:color w:val="000000"/>
          <w:sz w:val="33"/>
          <w:szCs w:val="33"/>
          <w:lang w:val="en-US" w:eastAsia="zh-CN"/>
        </w:rPr>
        <w:t>下降</w:t>
      </w:r>
      <w:r>
        <w:rPr>
          <w:rFonts w:hint="eastAsia" w:eastAsia="方正仿宋_GBK" w:cs="Times New Roman"/>
          <w:color w:val="000000"/>
          <w:sz w:val="33"/>
          <w:szCs w:val="33"/>
          <w:lang w:eastAsia="zh-CN"/>
        </w:rPr>
        <w:t>了</w:t>
      </w:r>
      <w:r>
        <w:rPr>
          <w:rFonts w:hint="eastAsia" w:eastAsia="方正仿宋_GBK" w:cs="Times New Roman"/>
          <w:color w:val="000000"/>
          <w:sz w:val="33"/>
          <w:szCs w:val="33"/>
          <w:lang w:val="en-US" w:eastAsia="zh-CN"/>
        </w:rPr>
        <w:t>5.4</w:t>
      </w:r>
      <w:r>
        <w:rPr>
          <w:rFonts w:hint="default"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themeColor="text1"/>
          <w:sz w:val="33"/>
          <w:szCs w:val="33"/>
          <w14:textFill>
            <w14:solidFill>
              <w14:schemeClr w14:val="tx1"/>
            </w14:solidFill>
          </w14:textFill>
        </w:rPr>
        <w:t>主要原因是</w:t>
      </w:r>
      <w:r>
        <w:rPr>
          <w:rFonts w:hint="eastAsia" w:ascii="Times New Roman" w:hAnsi="Times New Roman" w:eastAsia="方正仿宋_GBK" w:cs="Times New Roman"/>
          <w:color w:val="000000"/>
          <w:sz w:val="33"/>
          <w:szCs w:val="33"/>
          <w:lang w:eastAsia="zh-CN"/>
        </w:rPr>
        <w:t>树牢“过紧日子”思想，全力贯彻厉行节约</w:t>
      </w:r>
      <w:r>
        <w:rPr>
          <w:rFonts w:hint="default" w:ascii="Times New Roman" w:hAnsi="Times New Roman" w:eastAsia="方正仿宋_GBK" w:cs="Times New Roman"/>
          <w:color w:val="000000" w:themeColor="text1"/>
          <w:sz w:val="33"/>
          <w:szCs w:val="33"/>
          <w14:textFill>
            <w14:solidFill>
              <w14:schemeClr w14:val="tx1"/>
            </w14:solidFill>
          </w14:textFill>
        </w:rPr>
        <w:t>。</w:t>
      </w:r>
    </w:p>
    <w:p w14:paraId="3A8C17F8">
      <w:pPr>
        <w:spacing w:line="600" w:lineRule="exact"/>
        <w:ind w:firstLine="663" w:firstLineChars="200"/>
        <w:rPr>
          <w:rFonts w:hint="default" w:eastAsia="方正仿宋_GBK" w:cs="Times New Roman"/>
          <w:color w:val="000000" w:themeColor="text1"/>
          <w:sz w:val="33"/>
          <w:szCs w:val="33"/>
          <w:lang w:val="en-US" w:eastAsia="zh-CN"/>
          <w14:textFill>
            <w14:solidFill>
              <w14:schemeClr w14:val="tx1"/>
            </w14:solidFill>
          </w14:textFill>
        </w:rPr>
      </w:pPr>
      <w:r>
        <w:rPr>
          <w:rFonts w:hint="eastAsia" w:ascii="Times New Roman" w:hAnsi="Times New Roman" w:eastAsia="方正楷体_GBK" w:cs="Times New Roman"/>
          <w:b/>
          <w:color w:val="000000"/>
          <w:sz w:val="33"/>
          <w:szCs w:val="33"/>
        </w:rPr>
        <w:t>国内公务接待支出</w:t>
      </w:r>
      <w:r>
        <w:rPr>
          <w:rFonts w:hint="eastAsia" w:ascii="Times New Roman" w:hAnsi="Times New Roman" w:eastAsia="方正仿宋_GBK" w:cs="Times New Roman"/>
          <w:color w:val="000000"/>
          <w:sz w:val="33"/>
          <w:szCs w:val="33"/>
          <w:lang w:val="en-US" w:eastAsia="zh-CN"/>
        </w:rPr>
        <w:t>0.5</w:t>
      </w:r>
      <w:r>
        <w:rPr>
          <w:rFonts w:hint="eastAsia" w:eastAsia="方正仿宋_GBK" w:cs="Times New Roman"/>
          <w:color w:val="000000"/>
          <w:sz w:val="33"/>
          <w:szCs w:val="33"/>
          <w:lang w:val="en-US" w:eastAsia="zh-CN"/>
        </w:rPr>
        <w:t>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r>
        <w:rPr>
          <w:rFonts w:hint="eastAsia" w:eastAsia="方正仿宋_GBK" w:cs="Times New Roman"/>
          <w:color w:val="000000" w:themeColor="text1"/>
          <w:sz w:val="33"/>
          <w:szCs w:val="33"/>
          <w:lang w:val="en-US" w:eastAsia="zh-CN"/>
          <w14:textFill>
            <w14:solidFill>
              <w14:schemeClr w14:val="tx1"/>
            </w14:solidFill>
          </w14:textFill>
        </w:rPr>
        <w:t>主要用于执行公务、开展业务活动开支的交通费、住宿费、用餐费等。国内公务接待5批次，35人次，共计支出0.53万元。</w:t>
      </w:r>
    </w:p>
    <w:p w14:paraId="4D30B9BE">
      <w:pPr>
        <w:spacing w:line="600" w:lineRule="exact"/>
        <w:ind w:firstLine="645"/>
        <w:rPr>
          <w:rFonts w:hint="eastAsia" w:ascii="Times New Roman" w:hAnsi="Times New Roman" w:eastAsia="方正仿宋_GBK" w:cs="Times New Roman"/>
          <w:color w:val="000000"/>
          <w:sz w:val="33"/>
          <w:szCs w:val="33"/>
          <w:lang w:eastAsia="zh-CN"/>
        </w:rPr>
      </w:pPr>
      <w:r>
        <w:rPr>
          <w:rFonts w:hint="eastAsia" w:ascii="Times New Roman" w:hAnsi="Times New Roman" w:eastAsia="方正楷体_GBK" w:cs="Times New Roman"/>
          <w:b/>
          <w:color w:val="000000"/>
          <w:sz w:val="33"/>
          <w:szCs w:val="33"/>
        </w:rPr>
        <w:t>外事接待支出</w:t>
      </w:r>
      <w:r>
        <w:rPr>
          <w:rFonts w:hint="eastAsia" w:ascii="Times New Roman" w:hAnsi="Times New Roman" w:eastAsia="方正仿宋_GBK" w:cs="Times New Roman"/>
          <w:color w:val="000000"/>
          <w:sz w:val="33"/>
          <w:szCs w:val="33"/>
          <w:lang w:val="en-US" w:eastAsia="zh-CN"/>
        </w:rPr>
        <w:t>0</w:t>
      </w:r>
      <w:r>
        <w:rPr>
          <w:rFonts w:hint="eastAsia" w:eastAsia="方正仿宋_GBK" w:cs="Times New Roman"/>
          <w:color w:val="000000" w:themeColor="text1"/>
          <w:sz w:val="33"/>
          <w:szCs w:val="33"/>
          <w:lang w:val="en-US" w:eastAsia="zh-CN"/>
          <w14:textFill>
            <w14:solidFill>
              <w14:schemeClr w14:val="tx1"/>
            </w14:solidFill>
          </w14:textFill>
        </w:rPr>
        <w:t>万元</w:t>
      </w:r>
      <w:bookmarkStart w:id="58" w:name="_Toc15396610"/>
      <w:bookmarkStart w:id="59" w:name="_Toc15377218"/>
      <w:r>
        <w:rPr>
          <w:rFonts w:hint="eastAsia" w:eastAsia="方正仿宋_GBK" w:cs="Times New Roman"/>
          <w:color w:val="000000" w:themeColor="text1"/>
          <w:sz w:val="33"/>
          <w:szCs w:val="33"/>
          <w:lang w:val="en-US" w:eastAsia="zh-CN"/>
          <w14:textFill>
            <w14:solidFill>
              <w14:schemeClr w14:val="tx1"/>
            </w14:solidFill>
          </w14:textFill>
        </w:rPr>
        <w:t>。</w:t>
      </w:r>
    </w:p>
    <w:p w14:paraId="4E3EB9C6">
      <w:pPr>
        <w:spacing w:line="600" w:lineRule="exact"/>
        <w:ind w:firstLine="640"/>
        <w:outlineLvl w:val="1"/>
        <w:rPr>
          <w:rStyle w:val="33"/>
          <w:rFonts w:hint="eastAsia" w:ascii="方正黑体_GBK" w:hAnsi="方正黑体_GBK" w:eastAsia="方正黑体_GBK" w:cs="方正黑体_GBK"/>
          <w:sz w:val="33"/>
          <w:szCs w:val="33"/>
        </w:rPr>
      </w:pPr>
      <w:bookmarkStart w:id="60" w:name="_Toc464549180"/>
      <w:r>
        <w:rPr>
          <w:rFonts w:hint="eastAsia" w:ascii="方正黑体_GBK" w:hAnsi="方正黑体_GBK" w:eastAsia="方正黑体_GBK" w:cs="方正黑体_GBK"/>
          <w:color w:val="000000"/>
          <w:sz w:val="33"/>
          <w:szCs w:val="33"/>
          <w:lang w:eastAsia="zh-CN"/>
        </w:rPr>
        <w:t>八</w:t>
      </w:r>
      <w:r>
        <w:rPr>
          <w:rFonts w:hint="eastAsia" w:ascii="方正黑体_GBK" w:hAnsi="方正黑体_GBK" w:eastAsia="方正黑体_GBK" w:cs="方正黑体_GBK"/>
          <w:color w:val="000000"/>
          <w:sz w:val="33"/>
          <w:szCs w:val="33"/>
        </w:rPr>
        <w:t>、</w:t>
      </w:r>
      <w:r>
        <w:rPr>
          <w:rStyle w:val="33"/>
          <w:rFonts w:hint="eastAsia" w:ascii="方正黑体_GBK" w:hAnsi="方正黑体_GBK" w:eastAsia="方正黑体_GBK" w:cs="方正黑体_GBK"/>
          <w:b w:val="0"/>
          <w:sz w:val="33"/>
          <w:szCs w:val="33"/>
        </w:rPr>
        <w:t>政府性基金预算支出决算情况说明</w:t>
      </w:r>
      <w:bookmarkEnd w:id="58"/>
      <w:bookmarkEnd w:id="59"/>
      <w:bookmarkEnd w:id="60"/>
    </w:p>
    <w:p w14:paraId="0F0698E6">
      <w:pPr>
        <w:spacing w:line="600" w:lineRule="exact"/>
        <w:ind w:firstLine="645"/>
        <w:rPr>
          <w:rFonts w:hint="eastAsia" w:ascii="Times New Roman" w:hAnsi="Times New Roman" w:eastAsia="方正仿宋_GBK" w:cs="Times New Roman"/>
          <w:color w:val="000000"/>
          <w:sz w:val="33"/>
          <w:szCs w:val="33"/>
        </w:rPr>
      </w:pPr>
      <w:r>
        <w:rPr>
          <w:rFonts w:hint="eastAsia" w:eastAsia="方正仿宋_GBK" w:cs="Times New Roman"/>
          <w:color w:val="000000"/>
          <w:sz w:val="33"/>
          <w:szCs w:val="33"/>
          <w:lang w:eastAsia="zh-CN"/>
        </w:rPr>
        <w:t>2024年度</w:t>
      </w:r>
      <w:r>
        <w:rPr>
          <w:rFonts w:hint="eastAsia" w:ascii="Times New Roman" w:hAnsi="Times New Roman" w:eastAsia="方正仿宋_GBK" w:cs="Times New Roman"/>
          <w:color w:val="000000"/>
          <w:sz w:val="33"/>
          <w:szCs w:val="33"/>
        </w:rPr>
        <w:t>政府性基金预算拨款支出</w:t>
      </w:r>
      <w:r>
        <w:rPr>
          <w:rFonts w:hint="eastAsia" w:eastAsia="方正仿宋_GBK" w:cs="Times New Roman"/>
          <w:color w:val="000000"/>
          <w:sz w:val="33"/>
          <w:szCs w:val="33"/>
          <w:lang w:val="en-US" w:eastAsia="zh-CN"/>
        </w:rPr>
        <w:t>0</w:t>
      </w:r>
      <w:r>
        <w:rPr>
          <w:rFonts w:hint="eastAsia" w:ascii="Times New Roman" w:hAnsi="Times New Roman" w:eastAsia="方正仿宋_GBK" w:cs="Times New Roman"/>
          <w:color w:val="000000"/>
          <w:sz w:val="33"/>
          <w:szCs w:val="33"/>
        </w:rPr>
        <w:t>万元。</w:t>
      </w:r>
    </w:p>
    <w:p w14:paraId="5831D1FA">
      <w:pPr>
        <w:spacing w:line="600" w:lineRule="exact"/>
        <w:ind w:firstLine="640"/>
        <w:outlineLvl w:val="1"/>
        <w:rPr>
          <w:rFonts w:hint="eastAsia" w:ascii="方正黑体_GBK" w:hAnsi="方正黑体_GBK" w:eastAsia="方正黑体_GBK" w:cs="方正黑体_GBK"/>
          <w:color w:val="000000"/>
          <w:sz w:val="33"/>
          <w:szCs w:val="33"/>
          <w:lang w:eastAsia="zh-CN"/>
        </w:rPr>
      </w:pPr>
      <w:bookmarkStart w:id="61" w:name="_Toc1957948677"/>
      <w:bookmarkStart w:id="62" w:name="_Toc15396611"/>
      <w:bookmarkStart w:id="63" w:name="_Toc15377219"/>
      <w:r>
        <w:rPr>
          <w:rFonts w:hint="eastAsia" w:ascii="方正黑体_GBK" w:hAnsi="方正黑体_GBK" w:eastAsia="方正黑体_GBK" w:cs="方正黑体_GBK"/>
          <w:color w:val="000000"/>
          <w:sz w:val="33"/>
          <w:szCs w:val="33"/>
          <w:lang w:eastAsia="zh-CN"/>
        </w:rPr>
        <w:t>九、国有资本经营预算支出决算情况说明</w:t>
      </w:r>
      <w:bookmarkEnd w:id="61"/>
      <w:bookmarkEnd w:id="62"/>
      <w:bookmarkEnd w:id="63"/>
    </w:p>
    <w:p w14:paraId="02AFFB31">
      <w:pPr>
        <w:spacing w:line="600" w:lineRule="exact"/>
        <w:ind w:firstLine="645"/>
        <w:rPr>
          <w:rFonts w:hint="eastAsia" w:ascii="Times New Roman" w:hAnsi="Times New Roman" w:eastAsia="方正仿宋_GBK" w:cs="Times New Roman"/>
          <w:color w:val="000000"/>
          <w:sz w:val="33"/>
          <w:szCs w:val="33"/>
        </w:rPr>
      </w:pPr>
      <w:r>
        <w:rPr>
          <w:rFonts w:hint="eastAsia" w:eastAsia="方正仿宋_GBK" w:cs="Times New Roman"/>
          <w:color w:val="000000"/>
          <w:sz w:val="33"/>
          <w:szCs w:val="33"/>
          <w:lang w:eastAsia="zh-CN"/>
        </w:rPr>
        <w:t>2023年度</w:t>
      </w:r>
      <w:r>
        <w:rPr>
          <w:rFonts w:hint="eastAsia" w:ascii="Times New Roman" w:hAnsi="Times New Roman" w:eastAsia="方正仿宋_GBK" w:cs="Times New Roman"/>
          <w:color w:val="000000"/>
          <w:sz w:val="33"/>
          <w:szCs w:val="33"/>
        </w:rPr>
        <w:t>国有资本经营预算拨款支出</w:t>
      </w:r>
      <w:r>
        <w:rPr>
          <w:rFonts w:hint="eastAsia" w:ascii="Times New Roman" w:hAnsi="Times New Roman" w:eastAsia="方正仿宋_GBK" w:cs="Times New Roman"/>
          <w:color w:val="000000"/>
          <w:sz w:val="33"/>
          <w:szCs w:val="33"/>
          <w:lang w:val="en-US" w:eastAsia="zh-CN"/>
        </w:rPr>
        <w:t>0</w:t>
      </w:r>
      <w:r>
        <w:rPr>
          <w:rFonts w:hint="eastAsia" w:ascii="Times New Roman" w:hAnsi="Times New Roman" w:eastAsia="方正仿宋_GBK" w:cs="Times New Roman"/>
          <w:color w:val="000000"/>
          <w:sz w:val="33"/>
          <w:szCs w:val="33"/>
        </w:rPr>
        <w:t>万元。</w:t>
      </w:r>
    </w:p>
    <w:p w14:paraId="558A6D18">
      <w:pPr>
        <w:spacing w:line="600" w:lineRule="exact"/>
        <w:ind w:firstLine="640"/>
        <w:outlineLvl w:val="1"/>
        <w:rPr>
          <w:rFonts w:hint="eastAsia" w:ascii="方正黑体_GBK" w:hAnsi="方正黑体_GBK" w:eastAsia="方正黑体_GBK" w:cs="方正黑体_GBK"/>
          <w:color w:val="000000"/>
          <w:sz w:val="33"/>
          <w:szCs w:val="33"/>
          <w:lang w:eastAsia="zh-CN"/>
        </w:rPr>
      </w:pPr>
      <w:bookmarkStart w:id="64" w:name="_Toc15377221"/>
      <w:bookmarkStart w:id="65" w:name="_Toc15396612"/>
      <w:bookmarkStart w:id="66" w:name="_Toc1800912680"/>
      <w:r>
        <w:rPr>
          <w:rFonts w:hint="eastAsia" w:ascii="方正黑体_GBK" w:hAnsi="方正黑体_GBK" w:eastAsia="方正黑体_GBK" w:cs="方正黑体_GBK"/>
          <w:color w:val="000000"/>
          <w:sz w:val="33"/>
          <w:szCs w:val="33"/>
          <w:lang w:eastAsia="zh-CN"/>
        </w:rPr>
        <w:t>十、其他重要事项的情况说明</w:t>
      </w:r>
      <w:bookmarkEnd w:id="64"/>
      <w:bookmarkEnd w:id="65"/>
      <w:bookmarkEnd w:id="66"/>
    </w:p>
    <w:p w14:paraId="3F17C068">
      <w:pPr>
        <w:spacing w:line="600" w:lineRule="exact"/>
        <w:ind w:firstLine="663" w:firstLineChars="200"/>
        <w:outlineLvl w:val="2"/>
        <w:rPr>
          <w:rFonts w:hint="eastAsia" w:ascii="方正楷体_GBK" w:hAnsi="方正楷体_GBK" w:eastAsia="方正楷体_GBK" w:cs="方正楷体_GBK"/>
          <w:color w:val="000000"/>
          <w:sz w:val="33"/>
          <w:szCs w:val="33"/>
        </w:rPr>
      </w:pPr>
      <w:bookmarkStart w:id="67" w:name="_Toc206586308"/>
      <w:bookmarkStart w:id="68" w:name="_Toc15377222"/>
      <w:r>
        <w:rPr>
          <w:rFonts w:hint="eastAsia" w:ascii="方正楷体_GBK" w:hAnsi="方正楷体_GBK" w:eastAsia="方正楷体_GBK" w:cs="方正楷体_GBK"/>
          <w:b/>
          <w:color w:val="000000"/>
          <w:sz w:val="33"/>
          <w:szCs w:val="33"/>
        </w:rPr>
        <w:t>（一）机关运行经费支出情况</w:t>
      </w:r>
      <w:bookmarkEnd w:id="67"/>
      <w:bookmarkEnd w:id="68"/>
    </w:p>
    <w:p w14:paraId="311D88AC">
      <w:pPr>
        <w:overflowPunct w:val="0"/>
        <w:snapToGrid w:val="0"/>
        <w:spacing w:line="580" w:lineRule="exact"/>
        <w:ind w:firstLine="660" w:firstLineChars="200"/>
        <w:rPr>
          <w:rFonts w:hint="default" w:ascii="Times New Roman" w:hAnsi="Times New Roman" w:eastAsia="方正仿宋_GBK" w:cs="Times New Roman"/>
          <w:color w:val="000000"/>
          <w:sz w:val="33"/>
          <w:szCs w:val="33"/>
          <w:lang w:val="en-US" w:eastAsia="zh-CN"/>
        </w:rPr>
      </w:pPr>
      <w:r>
        <w:rPr>
          <w:rFonts w:hint="eastAsia" w:eastAsia="方正仿宋_GBK" w:cs="Times New Roman"/>
          <w:color w:val="000000"/>
          <w:sz w:val="33"/>
          <w:szCs w:val="33"/>
          <w:lang w:eastAsia="zh-CN"/>
        </w:rPr>
        <w:t>2024年度</w:t>
      </w:r>
      <w:r>
        <w:rPr>
          <w:rFonts w:hint="eastAsia"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lang w:eastAsia="zh-CN"/>
        </w:rPr>
        <w:t>不动产登记中心</w:t>
      </w:r>
      <w:r>
        <w:rPr>
          <w:rFonts w:hint="eastAsia" w:ascii="Times New Roman" w:hAnsi="Times New Roman" w:eastAsia="方正仿宋_GBK" w:cs="Times New Roman"/>
          <w:color w:val="000000"/>
          <w:sz w:val="33"/>
          <w:szCs w:val="33"/>
        </w:rPr>
        <w:t>机关运行经费支出</w:t>
      </w:r>
      <w:r>
        <w:rPr>
          <w:rFonts w:hint="eastAsia" w:eastAsia="方正仿宋_GBK" w:cs="Times New Roman"/>
          <w:color w:val="000000"/>
          <w:sz w:val="33"/>
          <w:szCs w:val="33"/>
          <w:lang w:val="en-US" w:eastAsia="zh-CN"/>
        </w:rPr>
        <w:t>0</w:t>
      </w:r>
      <w:r>
        <w:rPr>
          <w:rFonts w:hint="eastAsia" w:ascii="Times New Roman" w:hAnsi="Times New Roman" w:eastAsia="方正仿宋_GBK" w:cs="Times New Roman"/>
          <w:color w:val="000000"/>
          <w:sz w:val="33"/>
          <w:szCs w:val="33"/>
        </w:rPr>
        <w:t>万元</w:t>
      </w:r>
      <w:r>
        <w:rPr>
          <w:rFonts w:hint="eastAsia" w:eastAsia="方正仿宋_GBK" w:cs="Times New Roman"/>
          <w:color w:val="000000"/>
          <w:sz w:val="33"/>
          <w:szCs w:val="33"/>
          <w:lang w:eastAsia="zh-CN"/>
        </w:rPr>
        <w:t>，</w:t>
      </w:r>
      <w:r>
        <w:rPr>
          <w:rFonts w:hint="eastAsia" w:ascii="Times New Roman" w:hAnsi="Times New Roman" w:eastAsia="方正仿宋_GBK" w:cs="Times New Roman"/>
          <w:color w:val="000000"/>
          <w:sz w:val="33"/>
          <w:szCs w:val="33"/>
          <w:lang w:eastAsia="zh-CN"/>
        </w:rPr>
        <w:t>不动产登记中心</w:t>
      </w:r>
      <w:r>
        <w:rPr>
          <w:rFonts w:hint="eastAsia" w:eastAsia="方正仿宋_GBK" w:cs="Times New Roman"/>
          <w:color w:val="000000"/>
          <w:sz w:val="33"/>
          <w:szCs w:val="33"/>
          <w:lang w:val="en-US" w:eastAsia="zh-CN"/>
        </w:rPr>
        <w:t>为事业单位，无</w:t>
      </w:r>
      <w:r>
        <w:rPr>
          <w:rFonts w:hint="eastAsia" w:ascii="Times New Roman" w:hAnsi="Times New Roman" w:eastAsia="方正仿宋_GBK" w:cs="Times New Roman"/>
          <w:color w:val="000000"/>
          <w:sz w:val="33"/>
          <w:szCs w:val="33"/>
        </w:rPr>
        <w:t>机关运行经费支出</w:t>
      </w:r>
      <w:r>
        <w:rPr>
          <w:rFonts w:hint="eastAsia" w:ascii="Times New Roman" w:hAnsi="Times New Roman" w:eastAsia="方正仿宋_GBK" w:cs="Times New Roman"/>
          <w:color w:val="000000" w:themeColor="text1"/>
          <w:sz w:val="33"/>
          <w:szCs w:val="33"/>
          <w:lang w:eastAsia="zh-CN"/>
          <w14:textFill>
            <w14:solidFill>
              <w14:schemeClr w14:val="tx1"/>
            </w14:solidFill>
          </w14:textFill>
        </w:rPr>
        <w:t>。</w:t>
      </w:r>
    </w:p>
    <w:p w14:paraId="667B2F0D">
      <w:pPr>
        <w:spacing w:line="600" w:lineRule="exact"/>
        <w:ind w:firstLine="663" w:firstLineChars="200"/>
        <w:outlineLvl w:val="2"/>
        <w:rPr>
          <w:rFonts w:hint="eastAsia" w:ascii="方正楷体_GBK" w:hAnsi="方正楷体_GBK" w:eastAsia="方正楷体_GBK" w:cs="方正楷体_GBK"/>
          <w:b/>
          <w:color w:val="000000"/>
          <w:sz w:val="33"/>
          <w:szCs w:val="33"/>
        </w:rPr>
      </w:pPr>
      <w:bookmarkStart w:id="69" w:name="_Toc250755332"/>
      <w:bookmarkStart w:id="70" w:name="_Toc15377223"/>
      <w:r>
        <w:rPr>
          <w:rFonts w:hint="eastAsia" w:ascii="方正楷体_GBK" w:hAnsi="方正楷体_GBK" w:eastAsia="方正楷体_GBK" w:cs="方正楷体_GBK"/>
          <w:b/>
          <w:color w:val="000000"/>
          <w:sz w:val="33"/>
          <w:szCs w:val="33"/>
        </w:rPr>
        <w:t>（二）政府采购支出情况</w:t>
      </w:r>
      <w:bookmarkEnd w:id="69"/>
      <w:bookmarkEnd w:id="70"/>
    </w:p>
    <w:p w14:paraId="0FDC7437">
      <w:pPr>
        <w:spacing w:line="600" w:lineRule="exact"/>
        <w:ind w:firstLine="645"/>
        <w:rPr>
          <w:rFonts w:hint="eastAsia" w:ascii="Times New Roman" w:hAnsi="Times New Roman" w:eastAsia="方正仿宋_GBK" w:cs="Times New Roman"/>
          <w:color w:val="000000"/>
          <w:sz w:val="33"/>
          <w:szCs w:val="33"/>
          <w:lang w:val="en-US" w:eastAsia="zh-CN"/>
        </w:rPr>
      </w:pPr>
      <w:r>
        <w:rPr>
          <w:rFonts w:hint="eastAsia" w:eastAsia="方正仿宋_GBK" w:cs="Times New Roman"/>
          <w:color w:val="000000"/>
          <w:sz w:val="33"/>
          <w:szCs w:val="33"/>
          <w:lang w:eastAsia="zh-CN"/>
        </w:rPr>
        <w:t>2024年度</w:t>
      </w:r>
      <w:r>
        <w:rPr>
          <w:rFonts w:hint="eastAsia" w:ascii="Times New Roman" w:hAnsi="Times New Roman" w:eastAsia="方正仿宋_GBK" w:cs="Times New Roman"/>
          <w:color w:val="000000"/>
          <w:sz w:val="33"/>
          <w:szCs w:val="33"/>
        </w:rPr>
        <w:t>，</w:t>
      </w:r>
      <w:r>
        <w:rPr>
          <w:rFonts w:hint="eastAsia" w:ascii="Times New Roman" w:hAnsi="Times New Roman" w:eastAsia="方正仿宋_GBK" w:cs="Times New Roman"/>
          <w:color w:val="000000"/>
          <w:sz w:val="33"/>
          <w:szCs w:val="33"/>
          <w:lang w:eastAsia="zh-CN"/>
        </w:rPr>
        <w:t>不动产登记中心</w:t>
      </w:r>
      <w:r>
        <w:rPr>
          <w:rFonts w:hint="eastAsia" w:ascii="Times New Roman" w:hAnsi="Times New Roman" w:eastAsia="方正仿宋_GBK" w:cs="Times New Roman"/>
          <w:color w:val="000000"/>
          <w:sz w:val="33"/>
          <w:szCs w:val="33"/>
        </w:rPr>
        <w:t>政府采购支出总额</w:t>
      </w:r>
      <w:r>
        <w:rPr>
          <w:rFonts w:hint="eastAsia" w:eastAsia="方正仿宋_GBK" w:cs="Times New Roman"/>
          <w:color w:val="000000"/>
          <w:sz w:val="33"/>
          <w:szCs w:val="33"/>
          <w:lang w:val="en-US" w:eastAsia="zh-CN"/>
        </w:rPr>
        <w:t>0</w:t>
      </w:r>
      <w:r>
        <w:rPr>
          <w:rFonts w:hint="eastAsia" w:ascii="Times New Roman" w:hAnsi="Times New Roman" w:eastAsia="方正仿宋_GBK" w:cs="Times New Roman"/>
          <w:color w:val="000000"/>
          <w:sz w:val="33"/>
          <w:szCs w:val="33"/>
        </w:rPr>
        <w:t>万元</w:t>
      </w:r>
      <w:r>
        <w:rPr>
          <w:rFonts w:hint="eastAsia" w:ascii="Times New Roman" w:hAnsi="Times New Roman" w:eastAsia="方正仿宋_GBK" w:cs="Times New Roman"/>
          <w:color w:val="000000"/>
          <w:sz w:val="33"/>
          <w:szCs w:val="33"/>
          <w:lang w:eastAsia="zh-CN"/>
        </w:rPr>
        <w:t>。</w:t>
      </w:r>
    </w:p>
    <w:p w14:paraId="31DAE0DA">
      <w:pPr>
        <w:spacing w:line="600" w:lineRule="exact"/>
        <w:ind w:firstLine="663" w:firstLineChars="200"/>
        <w:outlineLvl w:val="2"/>
        <w:rPr>
          <w:rFonts w:hint="eastAsia" w:ascii="方正楷体_GBK" w:hAnsi="方正楷体_GBK" w:eastAsia="方正楷体_GBK" w:cs="方正楷体_GBK"/>
          <w:b/>
          <w:color w:val="000000"/>
          <w:sz w:val="33"/>
          <w:szCs w:val="33"/>
        </w:rPr>
      </w:pPr>
      <w:bookmarkStart w:id="71" w:name="_Toc1738901"/>
      <w:bookmarkStart w:id="72" w:name="_Toc15377224"/>
      <w:r>
        <w:rPr>
          <w:rFonts w:hint="eastAsia" w:ascii="方正楷体_GBK" w:hAnsi="方正楷体_GBK" w:eastAsia="方正楷体_GBK" w:cs="方正楷体_GBK"/>
          <w:b/>
          <w:color w:val="000000"/>
          <w:sz w:val="33"/>
          <w:szCs w:val="33"/>
        </w:rPr>
        <w:t>（三）国有资产占有使用情况</w:t>
      </w:r>
      <w:bookmarkEnd w:id="71"/>
      <w:bookmarkEnd w:id="72"/>
    </w:p>
    <w:p w14:paraId="52145376">
      <w:pPr>
        <w:spacing w:line="600" w:lineRule="exact"/>
        <w:ind w:firstLine="645"/>
        <w:rPr>
          <w:rFonts w:hint="eastAsia" w:ascii="Times New Roman" w:hAnsi="Times New Roman" w:eastAsia="方正仿宋_GBK" w:cs="Times New Roman"/>
          <w:color w:val="000000"/>
          <w:sz w:val="33"/>
          <w:szCs w:val="33"/>
          <w:lang w:val="en-US" w:eastAsia="zh-CN"/>
        </w:rPr>
      </w:pPr>
      <w:r>
        <w:rPr>
          <w:rFonts w:hint="eastAsia" w:ascii="Times New Roman" w:hAnsi="Times New Roman" w:eastAsia="方正仿宋_GBK" w:cs="Times New Roman"/>
          <w:color w:val="000000"/>
          <w:sz w:val="33"/>
          <w:szCs w:val="33"/>
        </w:rPr>
        <w:t>截至</w:t>
      </w:r>
      <w:r>
        <w:rPr>
          <w:rFonts w:hint="eastAsia" w:eastAsia="方正仿宋_GBK" w:cs="Times New Roman"/>
          <w:color w:val="000000"/>
          <w:sz w:val="33"/>
          <w:szCs w:val="33"/>
          <w:lang w:eastAsia="zh-CN"/>
        </w:rPr>
        <w:t>2024年</w:t>
      </w:r>
      <w:r>
        <w:rPr>
          <w:rFonts w:hint="eastAsia" w:ascii="Times New Roman" w:hAnsi="Times New Roman" w:eastAsia="方正仿宋_GBK" w:cs="Times New Roman"/>
          <w:color w:val="000000"/>
          <w:sz w:val="33"/>
          <w:szCs w:val="33"/>
        </w:rPr>
        <w:t>12月31日，</w:t>
      </w:r>
      <w:r>
        <w:rPr>
          <w:rFonts w:hint="default" w:ascii="Times New Roman" w:hAnsi="Times New Roman" w:eastAsia="方正仿宋_GBK" w:cs="Times New Roman"/>
          <w:color w:val="000000"/>
          <w:sz w:val="33"/>
          <w:szCs w:val="33"/>
          <w:lang w:eastAsia="zh-CN"/>
        </w:rPr>
        <w:t>不动产登记中心</w:t>
      </w:r>
      <w:r>
        <w:rPr>
          <w:rFonts w:hint="default" w:ascii="Times New Roman" w:hAnsi="Times New Roman" w:eastAsia="方正仿宋_GBK" w:cs="Times New Roman"/>
          <w:color w:val="000000"/>
          <w:sz w:val="33"/>
          <w:szCs w:val="33"/>
        </w:rPr>
        <w:t>共有车辆</w:t>
      </w:r>
      <w:r>
        <w:rPr>
          <w:rFonts w:hint="default" w:ascii="Times New Roman" w:hAnsi="Times New Roman" w:eastAsia="方正仿宋_GBK" w:cs="Times New Roman"/>
          <w:color w:val="000000"/>
          <w:sz w:val="33"/>
          <w:szCs w:val="33"/>
          <w:lang w:val="en-US" w:eastAsia="zh-CN"/>
        </w:rPr>
        <w:t>3</w:t>
      </w:r>
      <w:r>
        <w:rPr>
          <w:rFonts w:hint="default" w:ascii="Times New Roman" w:hAnsi="Times New Roman" w:eastAsia="方正仿宋_GBK" w:cs="Times New Roman"/>
          <w:color w:val="000000"/>
          <w:sz w:val="33"/>
          <w:szCs w:val="33"/>
        </w:rPr>
        <w:t>辆，其中：其他用车</w:t>
      </w:r>
      <w:r>
        <w:rPr>
          <w:rFonts w:hint="default" w:ascii="Times New Roman" w:hAnsi="Times New Roman" w:eastAsia="方正仿宋_GBK" w:cs="Times New Roman"/>
          <w:color w:val="000000"/>
          <w:sz w:val="33"/>
          <w:szCs w:val="33"/>
          <w:lang w:val="en-US" w:eastAsia="zh-CN"/>
        </w:rPr>
        <w:t>3</w:t>
      </w:r>
      <w:r>
        <w:rPr>
          <w:rFonts w:hint="default" w:ascii="Times New Roman" w:hAnsi="Times New Roman" w:eastAsia="方正仿宋_GBK" w:cs="Times New Roman"/>
          <w:color w:val="000000"/>
          <w:sz w:val="33"/>
          <w:szCs w:val="33"/>
        </w:rPr>
        <w:t>辆</w:t>
      </w:r>
      <w:r>
        <w:rPr>
          <w:rFonts w:hint="eastAsia" w:eastAsia="方正仿宋_GBK" w:cs="Times New Roman"/>
          <w:color w:val="000000"/>
          <w:sz w:val="33"/>
          <w:szCs w:val="33"/>
          <w:lang w:val="en-US" w:eastAsia="zh-CN"/>
        </w:rPr>
        <w:t>，</w:t>
      </w:r>
      <w:r>
        <w:rPr>
          <w:rFonts w:hint="default" w:ascii="Times New Roman" w:hAnsi="Times New Roman" w:eastAsia="方正仿宋_GBK" w:cs="Times New Roman"/>
          <w:color w:val="000000"/>
          <w:sz w:val="33"/>
          <w:szCs w:val="33"/>
        </w:rPr>
        <w:t>主要是用于</w:t>
      </w:r>
      <w:r>
        <w:rPr>
          <w:rFonts w:hint="default" w:ascii="Times New Roman" w:hAnsi="Times New Roman" w:eastAsia="方正仿宋_GBK" w:cs="Times New Roman"/>
          <w:color w:val="000000"/>
          <w:sz w:val="33"/>
          <w:szCs w:val="33"/>
          <w:lang w:eastAsia="zh-CN"/>
        </w:rPr>
        <w:t>不动产登记日常运转，包括权籍调查，现场查勘上门服务等业务用车。</w:t>
      </w:r>
      <w:r>
        <w:rPr>
          <w:rFonts w:hint="default" w:ascii="Times New Roman" w:hAnsi="Times New Roman" w:eastAsia="方正仿宋_GBK" w:cs="Times New Roman"/>
          <w:color w:val="000000"/>
          <w:sz w:val="33"/>
          <w:szCs w:val="33"/>
        </w:rPr>
        <w:t>单价50万元以上通用设备</w:t>
      </w:r>
      <w:r>
        <w:rPr>
          <w:rFonts w:hint="default" w:ascii="Times New Roman" w:hAnsi="Times New Roman" w:eastAsia="方正仿宋_GBK" w:cs="Times New Roman"/>
          <w:color w:val="000000"/>
          <w:sz w:val="33"/>
          <w:szCs w:val="33"/>
          <w:lang w:val="en-US" w:eastAsia="zh-CN"/>
        </w:rPr>
        <w:t>0</w:t>
      </w:r>
      <w:r>
        <w:rPr>
          <w:rFonts w:hint="default" w:ascii="Times New Roman" w:hAnsi="Times New Roman" w:eastAsia="方正仿宋_GBK" w:cs="Times New Roman"/>
          <w:color w:val="000000"/>
          <w:sz w:val="33"/>
          <w:szCs w:val="33"/>
        </w:rPr>
        <w:t>台（套），单价100万元以上专用设备</w:t>
      </w:r>
      <w:r>
        <w:rPr>
          <w:rFonts w:hint="default" w:ascii="Times New Roman" w:hAnsi="Times New Roman" w:eastAsia="方正仿宋_GBK" w:cs="Times New Roman"/>
          <w:color w:val="000000"/>
          <w:sz w:val="33"/>
          <w:szCs w:val="33"/>
          <w:lang w:val="en-US" w:eastAsia="zh-CN"/>
        </w:rPr>
        <w:t>0</w:t>
      </w:r>
      <w:r>
        <w:rPr>
          <w:rFonts w:hint="default" w:ascii="Times New Roman" w:hAnsi="Times New Roman" w:eastAsia="方正仿宋_GBK" w:cs="Times New Roman"/>
          <w:color w:val="000000"/>
          <w:sz w:val="33"/>
          <w:szCs w:val="33"/>
        </w:rPr>
        <w:t>台</w:t>
      </w:r>
      <w:r>
        <w:rPr>
          <w:rFonts w:hint="eastAsia" w:eastAsia="方正仿宋_GBK" w:cs="Times New Roman"/>
          <w:color w:val="000000"/>
          <w:sz w:val="33"/>
          <w:szCs w:val="33"/>
          <w:lang w:eastAsia="zh-CN"/>
        </w:rPr>
        <w:t>。</w:t>
      </w:r>
    </w:p>
    <w:p w14:paraId="220AE5D1">
      <w:pPr>
        <w:spacing w:line="600" w:lineRule="exact"/>
        <w:ind w:firstLine="663" w:firstLineChars="200"/>
        <w:outlineLvl w:val="2"/>
        <w:rPr>
          <w:rFonts w:hint="eastAsia" w:ascii="方正楷体_GBK" w:hAnsi="方正楷体_GBK" w:eastAsia="方正楷体_GBK" w:cs="方正楷体_GBK"/>
          <w:b/>
          <w:color w:val="000000"/>
          <w:sz w:val="33"/>
          <w:szCs w:val="33"/>
        </w:rPr>
      </w:pPr>
      <w:bookmarkStart w:id="73" w:name="_Toc1791930150"/>
      <w:r>
        <w:rPr>
          <w:rFonts w:hint="eastAsia" w:ascii="方正楷体_GBK" w:hAnsi="方正楷体_GBK" w:eastAsia="方正楷体_GBK" w:cs="方正楷体_GBK"/>
          <w:b/>
          <w:color w:val="000000"/>
          <w:sz w:val="33"/>
          <w:szCs w:val="33"/>
        </w:rPr>
        <w:t>（四）预算绩效管理情况。</w:t>
      </w:r>
      <w:bookmarkEnd w:id="73"/>
    </w:p>
    <w:p w14:paraId="61E45BF0">
      <w:pPr>
        <w:spacing w:line="600" w:lineRule="exact"/>
        <w:ind w:firstLine="645"/>
        <w:rPr>
          <w:rFonts w:hint="eastAsia" w:ascii="Times New Roman" w:hAnsi="Times New Roman" w:eastAsia="方正仿宋_GBK" w:cs="Times New Roman"/>
          <w:color w:val="000000"/>
          <w:sz w:val="33"/>
          <w:szCs w:val="33"/>
          <w:lang w:val="en-US" w:eastAsia="zh-CN"/>
        </w:rPr>
      </w:pPr>
      <w:r>
        <w:rPr>
          <w:rFonts w:hint="eastAsia" w:ascii="Times New Roman" w:hAnsi="Times New Roman" w:eastAsia="方正仿宋_GBK" w:cs="Times New Roman"/>
          <w:color w:val="000000"/>
          <w:sz w:val="33"/>
          <w:szCs w:val="33"/>
          <w:lang w:eastAsia="zh-CN"/>
        </w:rPr>
        <w:t>根据预算绩效管理要求，本单位在</w:t>
      </w:r>
      <w:r>
        <w:rPr>
          <w:rFonts w:hint="eastAsia" w:eastAsia="方正仿宋_GBK" w:cs="Times New Roman"/>
          <w:color w:val="000000"/>
          <w:sz w:val="33"/>
          <w:szCs w:val="33"/>
          <w:lang w:val="en-US" w:eastAsia="zh-CN"/>
        </w:rPr>
        <w:t>2024年度</w:t>
      </w:r>
      <w:r>
        <w:rPr>
          <w:rFonts w:hint="eastAsia" w:ascii="Times New Roman" w:hAnsi="Times New Roman" w:eastAsia="方正仿宋_GBK" w:cs="Times New Roman"/>
          <w:color w:val="000000"/>
          <w:sz w:val="33"/>
          <w:szCs w:val="33"/>
          <w:lang w:eastAsia="zh-CN"/>
        </w:rPr>
        <w:t>预算编制阶段，组织对</w:t>
      </w:r>
      <w:r>
        <w:rPr>
          <w:rFonts w:hint="default" w:ascii="Times New Roman" w:hAnsi="Times New Roman" w:eastAsia="方正仿宋_GBK" w:cs="Times New Roman"/>
          <w:color w:val="000000"/>
          <w:sz w:val="33"/>
          <w:szCs w:val="33"/>
          <w:lang w:val="en-US" w:eastAsia="zh-CN"/>
        </w:rPr>
        <w:t>不动产登记工作预算差额经费</w:t>
      </w:r>
      <w:r>
        <w:rPr>
          <w:rFonts w:hint="eastAsia" w:ascii="Times New Roman" w:hAnsi="Times New Roman" w:eastAsia="方正仿宋_GBK" w:cs="Times New Roman"/>
          <w:color w:val="000000"/>
          <w:sz w:val="33"/>
          <w:szCs w:val="33"/>
          <w:lang w:eastAsia="zh-CN"/>
        </w:rPr>
        <w:t>项目等</w:t>
      </w:r>
      <w:r>
        <w:rPr>
          <w:rFonts w:hint="eastAsia" w:eastAsia="方正仿宋_GBK" w:cs="Times New Roman"/>
          <w:color w:val="000000"/>
          <w:sz w:val="33"/>
          <w:szCs w:val="33"/>
          <w:lang w:val="en-US" w:eastAsia="zh-CN"/>
        </w:rPr>
        <w:t>1</w:t>
      </w:r>
      <w:r>
        <w:rPr>
          <w:rFonts w:hint="eastAsia" w:ascii="Times New Roman" w:hAnsi="Times New Roman" w:eastAsia="方正仿宋_GBK" w:cs="Times New Roman"/>
          <w:color w:val="000000"/>
          <w:sz w:val="33"/>
          <w:szCs w:val="33"/>
          <w:lang w:val="en-US" w:eastAsia="zh-CN"/>
        </w:rPr>
        <w:t>个项目</w:t>
      </w:r>
      <w:r>
        <w:rPr>
          <w:rFonts w:hint="eastAsia" w:ascii="Times New Roman" w:hAnsi="Times New Roman" w:eastAsia="方正仿宋_GBK" w:cs="Times New Roman"/>
          <w:color w:val="000000"/>
          <w:sz w:val="33"/>
          <w:szCs w:val="33"/>
          <w:lang w:eastAsia="zh-CN"/>
        </w:rPr>
        <w:t>开展了预算事前绩效评估，对</w:t>
      </w:r>
      <w:r>
        <w:rPr>
          <w:rFonts w:hint="eastAsia" w:eastAsia="方正仿宋_GBK" w:cs="Times New Roman"/>
          <w:color w:val="000000"/>
          <w:sz w:val="33"/>
          <w:szCs w:val="33"/>
          <w:lang w:val="en-US" w:eastAsia="zh-CN"/>
        </w:rPr>
        <w:t>1</w:t>
      </w:r>
      <w:r>
        <w:rPr>
          <w:rFonts w:hint="eastAsia" w:ascii="Times New Roman" w:hAnsi="Times New Roman" w:eastAsia="方正仿宋_GBK" w:cs="Times New Roman"/>
          <w:color w:val="000000"/>
          <w:sz w:val="33"/>
          <w:szCs w:val="33"/>
          <w:lang w:eastAsia="zh-CN"/>
        </w:rPr>
        <w:t>个项目编制了绩效目标，预算执行过程中，选取</w:t>
      </w:r>
      <w:r>
        <w:rPr>
          <w:rFonts w:hint="eastAsia" w:eastAsia="方正仿宋_GBK" w:cs="Times New Roman"/>
          <w:color w:val="000000"/>
          <w:sz w:val="33"/>
          <w:szCs w:val="33"/>
          <w:lang w:val="en-US" w:eastAsia="zh-CN"/>
        </w:rPr>
        <w:t>1</w:t>
      </w:r>
      <w:r>
        <w:rPr>
          <w:rFonts w:hint="eastAsia" w:ascii="Times New Roman" w:hAnsi="Times New Roman" w:eastAsia="方正仿宋_GBK" w:cs="Times New Roman"/>
          <w:color w:val="000000"/>
          <w:sz w:val="33"/>
          <w:szCs w:val="33"/>
          <w:lang w:eastAsia="zh-CN"/>
        </w:rPr>
        <w:t>个项目开展绩效监控，组织对</w:t>
      </w:r>
      <w:r>
        <w:rPr>
          <w:rFonts w:hint="eastAsia" w:eastAsia="方正仿宋_GBK" w:cs="Times New Roman"/>
          <w:color w:val="000000"/>
          <w:sz w:val="33"/>
          <w:szCs w:val="33"/>
          <w:lang w:val="en-US" w:eastAsia="zh-CN"/>
        </w:rPr>
        <w:t>1</w:t>
      </w:r>
      <w:r>
        <w:rPr>
          <w:rFonts w:hint="eastAsia" w:ascii="Times New Roman" w:hAnsi="Times New Roman" w:eastAsia="方正仿宋_GBK" w:cs="Times New Roman"/>
          <w:color w:val="000000"/>
          <w:sz w:val="33"/>
          <w:szCs w:val="33"/>
          <w:lang w:val="en-US" w:eastAsia="zh-CN"/>
        </w:rPr>
        <w:t>个项目开展绩效自评，绩效自评表详见第四部分附件。</w:t>
      </w:r>
    </w:p>
    <w:p w14:paraId="2EE1946D">
      <w:pPr>
        <w:rPr>
          <w:rFonts w:hint="eastAsia" w:eastAsia="方正仿宋_GBK"/>
          <w:sz w:val="33"/>
          <w:szCs w:val="33"/>
          <w:lang w:eastAsia="zh-CN"/>
        </w:rPr>
      </w:pPr>
      <w:r>
        <w:rPr>
          <w:rFonts w:hint="default" w:ascii="Times New Roman" w:hAnsi="Times New Roman" w:eastAsia="方正小标宋_GBK" w:cs="Times New Roman"/>
          <w:color w:val="000000"/>
          <w:sz w:val="44"/>
          <w:szCs w:val="44"/>
        </w:rPr>
        <w:br w:type="page"/>
      </w:r>
    </w:p>
    <w:p w14:paraId="21BC8608">
      <w:pPr>
        <w:numPr>
          <w:ilvl w:val="0"/>
          <w:numId w:val="3"/>
        </w:numPr>
        <w:spacing w:line="600" w:lineRule="exact"/>
        <w:ind w:firstLine="660" w:firstLineChars="150"/>
        <w:jc w:val="center"/>
        <w:outlineLvl w:val="0"/>
        <w:rPr>
          <w:rStyle w:val="32"/>
          <w:rFonts w:hint="eastAsia" w:ascii="方正小标宋_GBK" w:hAnsi="方正小标宋_GBK" w:eastAsia="方正小标宋_GBK" w:cs="方正小标宋_GBK"/>
          <w:b w:val="0"/>
        </w:rPr>
      </w:pPr>
      <w:bookmarkStart w:id="74" w:name="_Toc366971393"/>
      <w:bookmarkStart w:id="75" w:name="_Toc15396613"/>
      <w:bookmarkStart w:id="76" w:name="_Toc15377225"/>
      <w:r>
        <w:rPr>
          <w:rFonts w:hint="eastAsia" w:ascii="方正小标宋_GBK" w:hAnsi="方正小标宋_GBK" w:eastAsia="方正小标宋_GBK" w:cs="方正小标宋_GBK"/>
          <w:color w:val="000000"/>
          <w:sz w:val="44"/>
          <w:szCs w:val="44"/>
        </w:rPr>
        <w:t>名</w:t>
      </w:r>
      <w:r>
        <w:rPr>
          <w:rStyle w:val="32"/>
          <w:rFonts w:hint="eastAsia" w:ascii="方正小标宋_GBK" w:hAnsi="方正小标宋_GBK" w:eastAsia="方正小标宋_GBK" w:cs="方正小标宋_GBK"/>
          <w:b w:val="0"/>
        </w:rPr>
        <w:t>词解释</w:t>
      </w:r>
      <w:bookmarkEnd w:id="74"/>
      <w:bookmarkEnd w:id="75"/>
      <w:bookmarkEnd w:id="76"/>
    </w:p>
    <w:p w14:paraId="141EC799">
      <w:pPr>
        <w:spacing w:line="600" w:lineRule="exact"/>
        <w:jc w:val="left"/>
        <w:rPr>
          <w:rFonts w:ascii="宋体"/>
          <w:b/>
          <w:color w:val="000000"/>
          <w:sz w:val="44"/>
          <w:szCs w:val="44"/>
        </w:rPr>
      </w:pPr>
    </w:p>
    <w:p w14:paraId="65EAA33D">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sz w:val="33"/>
          <w:szCs w:val="33"/>
        </w:rPr>
      </w:pPr>
      <w:bookmarkStart w:id="77" w:name="_Toc1037117381"/>
      <w:bookmarkStart w:id="78" w:name="_Toc23279"/>
      <w:r>
        <w:rPr>
          <w:rFonts w:hint="default" w:ascii="Times New Roman" w:hAnsi="Times New Roman" w:eastAsia="方正仿宋_GBK" w:cs="Times New Roman"/>
          <w:sz w:val="33"/>
          <w:szCs w:val="33"/>
        </w:rPr>
        <w:t>财政拨款收入：指单位从同级财政</w:t>
      </w:r>
      <w:r>
        <w:rPr>
          <w:rFonts w:hint="default" w:ascii="Times New Roman" w:hAnsi="Times New Roman" w:eastAsia="方正仿宋_GBK" w:cs="Times New Roman"/>
          <w:sz w:val="33"/>
          <w:szCs w:val="33"/>
          <w:lang w:val="en"/>
        </w:rPr>
        <w:t>单位</w:t>
      </w:r>
      <w:r>
        <w:rPr>
          <w:rFonts w:hint="default" w:ascii="Times New Roman" w:hAnsi="Times New Roman" w:eastAsia="方正仿宋_GBK" w:cs="Times New Roman"/>
          <w:sz w:val="33"/>
          <w:szCs w:val="33"/>
        </w:rPr>
        <w:t>取得的财政预算资金。</w:t>
      </w:r>
      <w:bookmarkEnd w:id="77"/>
      <w:bookmarkEnd w:id="78"/>
    </w:p>
    <w:p w14:paraId="02863C7A">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事业收入：指事业单位开展专业业务活动及辅助活动取得的收入。</w:t>
      </w:r>
    </w:p>
    <w:p w14:paraId="5A2E529A">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使用非财政拨款结余：指事业单位使用以前</w:t>
      </w:r>
      <w:r>
        <w:rPr>
          <w:rFonts w:hint="eastAsia" w:ascii="Times New Roman" w:hAnsi="Times New Roman" w:eastAsia="方正仿宋_GBK" w:cs="Times New Roman"/>
          <w:sz w:val="33"/>
          <w:szCs w:val="33"/>
          <w:lang w:eastAsia="zh-CN"/>
        </w:rPr>
        <w:t>年度</w:t>
      </w:r>
      <w:r>
        <w:rPr>
          <w:rFonts w:hint="default" w:ascii="Times New Roman" w:hAnsi="Times New Roman" w:eastAsia="方正仿宋_GBK" w:cs="Times New Roman"/>
          <w:sz w:val="33"/>
          <w:szCs w:val="33"/>
        </w:rPr>
        <w:t>积累的非财政拨款结余弥补当</w:t>
      </w:r>
      <w:r>
        <w:rPr>
          <w:rFonts w:hint="eastAsia" w:ascii="Times New Roman" w:hAnsi="Times New Roman" w:eastAsia="方正仿宋_GBK" w:cs="Times New Roman"/>
          <w:sz w:val="33"/>
          <w:szCs w:val="33"/>
          <w:lang w:eastAsia="zh-CN"/>
        </w:rPr>
        <w:t>年度</w:t>
      </w:r>
      <w:r>
        <w:rPr>
          <w:rFonts w:hint="default" w:ascii="Times New Roman" w:hAnsi="Times New Roman" w:eastAsia="方正仿宋_GBK" w:cs="Times New Roman"/>
          <w:sz w:val="33"/>
          <w:szCs w:val="33"/>
        </w:rPr>
        <w:t>收支差额的金额。</w:t>
      </w:r>
    </w:p>
    <w:p w14:paraId="573A9264">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eastAsia="zh-CN"/>
        </w:rPr>
        <w:t>年度</w:t>
      </w:r>
      <w:r>
        <w:rPr>
          <w:rFonts w:hint="default" w:ascii="Times New Roman" w:hAnsi="Times New Roman" w:eastAsia="方正仿宋_GBK" w:cs="Times New Roman"/>
          <w:sz w:val="33"/>
          <w:szCs w:val="33"/>
        </w:rPr>
        <w:t>初结转和结余：指以前</w:t>
      </w:r>
      <w:r>
        <w:rPr>
          <w:rFonts w:hint="eastAsia" w:ascii="Times New Roman" w:hAnsi="Times New Roman" w:eastAsia="方正仿宋_GBK" w:cs="Times New Roman"/>
          <w:sz w:val="33"/>
          <w:szCs w:val="33"/>
          <w:lang w:eastAsia="zh-CN"/>
        </w:rPr>
        <w:t>年度</w:t>
      </w:r>
      <w:r>
        <w:rPr>
          <w:rFonts w:hint="default" w:ascii="Times New Roman" w:hAnsi="Times New Roman" w:eastAsia="方正仿宋_GBK" w:cs="Times New Roman"/>
          <w:sz w:val="33"/>
          <w:szCs w:val="33"/>
        </w:rPr>
        <w:t>尚未完成、结转到本</w:t>
      </w:r>
      <w:r>
        <w:rPr>
          <w:rFonts w:hint="eastAsia" w:ascii="Times New Roman" w:hAnsi="Times New Roman" w:eastAsia="方正仿宋_GBK" w:cs="Times New Roman"/>
          <w:sz w:val="33"/>
          <w:szCs w:val="33"/>
          <w:lang w:eastAsia="zh-CN"/>
        </w:rPr>
        <w:t>年度</w:t>
      </w:r>
      <w:r>
        <w:rPr>
          <w:rFonts w:hint="default" w:ascii="Times New Roman" w:hAnsi="Times New Roman" w:eastAsia="方正仿宋_GBK" w:cs="Times New Roman"/>
          <w:sz w:val="33"/>
          <w:szCs w:val="33"/>
        </w:rPr>
        <w:t>按有关规定继续使用的资金</w:t>
      </w:r>
      <w:r>
        <w:rPr>
          <w:rFonts w:hint="eastAsia" w:ascii="Times New Roman" w:hAnsi="Times New Roman" w:eastAsia="方正仿宋_GBK" w:cs="Times New Roman"/>
          <w:sz w:val="33"/>
          <w:szCs w:val="33"/>
          <w:lang w:eastAsia="zh-CN"/>
        </w:rPr>
        <w:t>。</w:t>
      </w:r>
    </w:p>
    <w:p w14:paraId="35FEBBD6">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结余分配：指事业单位按照会计制度规定缴纳的所得税、提取的专用结余以及转入非财政拨款结余的金额等。</w:t>
      </w:r>
    </w:p>
    <w:p w14:paraId="2B0B7D7F">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color w:val="000000"/>
          <w:sz w:val="33"/>
          <w:szCs w:val="33"/>
        </w:rPr>
      </w:pPr>
      <w:r>
        <w:rPr>
          <w:rFonts w:hint="eastAsia" w:ascii="Times New Roman" w:hAnsi="Times New Roman" w:eastAsia="方正仿宋_GBK" w:cs="Times New Roman"/>
          <w:sz w:val="33"/>
          <w:szCs w:val="33"/>
          <w:lang w:eastAsia="zh-CN"/>
        </w:rPr>
        <w:t>年度</w:t>
      </w:r>
      <w:r>
        <w:rPr>
          <w:rFonts w:hint="default" w:ascii="Times New Roman" w:hAnsi="Times New Roman" w:eastAsia="方正仿宋_GBK" w:cs="Times New Roman"/>
          <w:sz w:val="33"/>
          <w:szCs w:val="33"/>
        </w:rPr>
        <w:t>末结转和结余：指单位按有关规定结转到下</w:t>
      </w:r>
      <w:r>
        <w:rPr>
          <w:rFonts w:hint="eastAsia" w:ascii="Times New Roman" w:hAnsi="Times New Roman" w:eastAsia="方正仿宋_GBK" w:cs="Times New Roman"/>
          <w:sz w:val="33"/>
          <w:szCs w:val="33"/>
          <w:lang w:eastAsia="zh-CN"/>
        </w:rPr>
        <w:t>年度</w:t>
      </w:r>
      <w:r>
        <w:rPr>
          <w:rFonts w:hint="default" w:ascii="Times New Roman" w:hAnsi="Times New Roman" w:eastAsia="方正仿宋_GBK" w:cs="Times New Roman"/>
          <w:sz w:val="33"/>
          <w:szCs w:val="33"/>
        </w:rPr>
        <w:t>或以后</w:t>
      </w:r>
      <w:r>
        <w:rPr>
          <w:rFonts w:hint="eastAsia" w:ascii="Times New Roman" w:hAnsi="Times New Roman" w:eastAsia="方正仿宋_GBK" w:cs="Times New Roman"/>
          <w:sz w:val="33"/>
          <w:szCs w:val="33"/>
          <w:lang w:eastAsia="zh-CN"/>
        </w:rPr>
        <w:t>年度</w:t>
      </w:r>
      <w:r>
        <w:rPr>
          <w:rFonts w:hint="default" w:ascii="Times New Roman" w:hAnsi="Times New Roman" w:eastAsia="方正仿宋_GBK" w:cs="Times New Roman"/>
          <w:sz w:val="33"/>
          <w:szCs w:val="33"/>
        </w:rPr>
        <w:t>继续使用的资金。</w:t>
      </w:r>
    </w:p>
    <w:p w14:paraId="07C04B1D">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社会保障和就业（类）</w:t>
      </w:r>
      <w:r>
        <w:rPr>
          <w:rFonts w:hint="default" w:ascii="Times New Roman" w:hAnsi="Times New Roman" w:eastAsia="方正仿宋_GBK" w:cs="Times New Roman"/>
          <w:color w:val="000000"/>
          <w:sz w:val="33"/>
          <w:szCs w:val="33"/>
          <w:lang w:eastAsia="zh-CN"/>
        </w:rPr>
        <w:t>行政事业单位养老保险</w:t>
      </w:r>
      <w:r>
        <w:rPr>
          <w:rFonts w:hint="default" w:ascii="Times New Roman" w:hAnsi="Times New Roman" w:eastAsia="方正仿宋_GBK" w:cs="Times New Roman"/>
          <w:color w:val="000000"/>
          <w:sz w:val="33"/>
          <w:szCs w:val="33"/>
        </w:rPr>
        <w:t>（款）</w:t>
      </w:r>
      <w:r>
        <w:rPr>
          <w:rFonts w:hint="default" w:ascii="Times New Roman" w:hAnsi="Times New Roman" w:eastAsia="方正仿宋_GBK" w:cs="Times New Roman"/>
          <w:color w:val="000000"/>
          <w:sz w:val="33"/>
          <w:szCs w:val="33"/>
          <w:lang w:eastAsia="zh-CN"/>
        </w:rPr>
        <w:t>机关事业单位养老保险缴费</w:t>
      </w:r>
      <w:r>
        <w:rPr>
          <w:rFonts w:hint="default" w:ascii="Times New Roman" w:hAnsi="Times New Roman" w:eastAsia="方正仿宋_GBK" w:cs="Times New Roman"/>
          <w:color w:val="000000"/>
          <w:sz w:val="33"/>
          <w:szCs w:val="33"/>
        </w:rPr>
        <w:t>（项）：指</w:t>
      </w:r>
      <w:r>
        <w:rPr>
          <w:rFonts w:hint="default" w:ascii="Times New Roman" w:hAnsi="Times New Roman" w:eastAsia="方正仿宋_GBK" w:cs="Times New Roman"/>
          <w:color w:val="000000"/>
          <w:sz w:val="33"/>
          <w:szCs w:val="33"/>
          <w:lang w:eastAsia="zh-CN"/>
        </w:rPr>
        <w:t>事业人员养老保险</w:t>
      </w:r>
      <w:r>
        <w:rPr>
          <w:rFonts w:hint="default" w:ascii="Times New Roman" w:hAnsi="Times New Roman" w:eastAsia="方正仿宋_GBK" w:cs="Times New Roman"/>
          <w:color w:val="000000"/>
          <w:sz w:val="33"/>
          <w:szCs w:val="33"/>
        </w:rPr>
        <w:t>。</w:t>
      </w:r>
    </w:p>
    <w:p w14:paraId="18A98D6E">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医疗卫生与计划生育（类）</w:t>
      </w:r>
      <w:r>
        <w:rPr>
          <w:rFonts w:hint="default" w:ascii="Times New Roman" w:hAnsi="Times New Roman" w:eastAsia="方正仿宋_GBK" w:cs="Times New Roman"/>
          <w:color w:val="000000"/>
          <w:sz w:val="33"/>
          <w:szCs w:val="33"/>
          <w:lang w:eastAsia="zh-CN"/>
        </w:rPr>
        <w:t>行政事业单位医疗</w:t>
      </w:r>
      <w:r>
        <w:rPr>
          <w:rFonts w:hint="default" w:ascii="Times New Roman" w:hAnsi="Times New Roman" w:eastAsia="方正仿宋_GBK" w:cs="Times New Roman"/>
          <w:color w:val="000000"/>
          <w:sz w:val="33"/>
          <w:szCs w:val="33"/>
        </w:rPr>
        <w:t>（款）</w:t>
      </w:r>
      <w:r>
        <w:rPr>
          <w:rFonts w:hint="default" w:ascii="Times New Roman" w:hAnsi="Times New Roman" w:eastAsia="方正仿宋_GBK" w:cs="Times New Roman"/>
          <w:color w:val="000000"/>
          <w:sz w:val="33"/>
          <w:szCs w:val="33"/>
          <w:lang w:eastAsia="zh-CN"/>
        </w:rPr>
        <w:t>事业单位医疗</w:t>
      </w:r>
      <w:r>
        <w:rPr>
          <w:rFonts w:hint="default" w:ascii="Times New Roman" w:hAnsi="Times New Roman" w:eastAsia="方正仿宋_GBK" w:cs="Times New Roman"/>
          <w:color w:val="000000"/>
          <w:sz w:val="33"/>
          <w:szCs w:val="33"/>
        </w:rPr>
        <w:t>（项）：指</w:t>
      </w:r>
      <w:r>
        <w:rPr>
          <w:rFonts w:hint="default" w:ascii="Times New Roman" w:hAnsi="Times New Roman" w:eastAsia="方正仿宋_GBK" w:cs="Times New Roman"/>
          <w:color w:val="000000"/>
          <w:sz w:val="33"/>
          <w:szCs w:val="33"/>
          <w:lang w:eastAsia="zh-CN"/>
        </w:rPr>
        <w:t>事业人员医疗保险支出</w:t>
      </w:r>
      <w:r>
        <w:rPr>
          <w:rFonts w:hint="default" w:ascii="Times New Roman" w:hAnsi="Times New Roman" w:eastAsia="方正仿宋_GBK" w:cs="Times New Roman"/>
          <w:color w:val="000000"/>
          <w:sz w:val="33"/>
          <w:szCs w:val="33"/>
        </w:rPr>
        <w:t>。</w:t>
      </w:r>
    </w:p>
    <w:p w14:paraId="4413E4B7">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医疗卫生与计划生育（类）</w:t>
      </w:r>
      <w:r>
        <w:rPr>
          <w:rFonts w:hint="default" w:ascii="Times New Roman" w:hAnsi="Times New Roman" w:eastAsia="方正仿宋_GBK" w:cs="Times New Roman"/>
          <w:color w:val="000000"/>
          <w:sz w:val="33"/>
          <w:szCs w:val="33"/>
          <w:lang w:eastAsia="zh-CN"/>
        </w:rPr>
        <w:t>行政事业单位医疗</w:t>
      </w:r>
      <w:r>
        <w:rPr>
          <w:rFonts w:hint="default" w:ascii="Times New Roman" w:hAnsi="Times New Roman" w:eastAsia="方正仿宋_GBK" w:cs="Times New Roman"/>
          <w:color w:val="000000"/>
          <w:sz w:val="33"/>
          <w:szCs w:val="33"/>
        </w:rPr>
        <w:t>（款）公务员医疗补助（项）：指公务员医疗补助</w:t>
      </w:r>
      <w:r>
        <w:rPr>
          <w:rFonts w:hint="default" w:ascii="Times New Roman" w:hAnsi="Times New Roman" w:eastAsia="方正仿宋_GBK" w:cs="Times New Roman"/>
          <w:color w:val="000000"/>
          <w:sz w:val="33"/>
          <w:szCs w:val="33"/>
          <w:lang w:eastAsia="zh-CN"/>
        </w:rPr>
        <w:t>支出</w:t>
      </w:r>
      <w:r>
        <w:rPr>
          <w:rFonts w:hint="default" w:ascii="Times New Roman" w:hAnsi="Times New Roman" w:eastAsia="方正仿宋_GBK" w:cs="Times New Roman"/>
          <w:color w:val="000000"/>
          <w:sz w:val="33"/>
          <w:szCs w:val="33"/>
        </w:rPr>
        <w:t>。</w:t>
      </w:r>
    </w:p>
    <w:p w14:paraId="37517F84">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国土海洋气象等（类）</w:t>
      </w:r>
      <w:r>
        <w:rPr>
          <w:rFonts w:hint="default" w:ascii="Times New Roman" w:hAnsi="Times New Roman" w:eastAsia="方正仿宋_GBK" w:cs="Times New Roman"/>
          <w:color w:val="000000"/>
          <w:sz w:val="33"/>
          <w:szCs w:val="33"/>
          <w:lang w:eastAsia="zh-CN"/>
        </w:rPr>
        <w:t>自然资源事务</w:t>
      </w:r>
      <w:r>
        <w:rPr>
          <w:rFonts w:hint="default" w:ascii="Times New Roman" w:hAnsi="Times New Roman" w:eastAsia="方正仿宋_GBK" w:cs="Times New Roman"/>
          <w:color w:val="000000"/>
          <w:sz w:val="33"/>
          <w:szCs w:val="33"/>
        </w:rPr>
        <w:t>（款）</w:t>
      </w:r>
      <w:r>
        <w:rPr>
          <w:rFonts w:hint="default" w:ascii="Times New Roman" w:hAnsi="Times New Roman" w:eastAsia="方正仿宋_GBK" w:cs="Times New Roman"/>
          <w:color w:val="000000"/>
          <w:sz w:val="33"/>
          <w:szCs w:val="33"/>
          <w:lang w:eastAsia="zh-CN"/>
        </w:rPr>
        <w:t>事业运行</w:t>
      </w:r>
      <w:r>
        <w:rPr>
          <w:rFonts w:hint="default" w:ascii="Times New Roman" w:hAnsi="Times New Roman" w:eastAsia="方正仿宋_GBK" w:cs="Times New Roman"/>
          <w:color w:val="000000"/>
          <w:sz w:val="33"/>
          <w:szCs w:val="33"/>
        </w:rPr>
        <w:t>（项）：指</w:t>
      </w:r>
      <w:r>
        <w:rPr>
          <w:rFonts w:hint="default" w:ascii="Times New Roman" w:hAnsi="Times New Roman" w:eastAsia="方正仿宋_GBK" w:cs="Times New Roman"/>
          <w:color w:val="000000"/>
          <w:sz w:val="33"/>
          <w:szCs w:val="33"/>
          <w:lang w:eastAsia="zh-CN"/>
        </w:rPr>
        <w:t>单位工资福利及日常公用支出</w:t>
      </w:r>
      <w:r>
        <w:rPr>
          <w:rFonts w:hint="default" w:ascii="Times New Roman" w:hAnsi="Times New Roman" w:eastAsia="方正仿宋_GBK" w:cs="Times New Roman"/>
          <w:color w:val="000000"/>
          <w:sz w:val="33"/>
          <w:szCs w:val="33"/>
        </w:rPr>
        <w:t>。</w:t>
      </w:r>
    </w:p>
    <w:p w14:paraId="09298194">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国土海洋气象等（类）</w:t>
      </w:r>
      <w:r>
        <w:rPr>
          <w:rFonts w:hint="default" w:ascii="Times New Roman" w:hAnsi="Times New Roman" w:eastAsia="方正仿宋_GBK" w:cs="Times New Roman"/>
          <w:color w:val="000000"/>
          <w:sz w:val="33"/>
          <w:szCs w:val="33"/>
          <w:lang w:eastAsia="zh-CN"/>
        </w:rPr>
        <w:t>自然资源事务</w:t>
      </w:r>
      <w:r>
        <w:rPr>
          <w:rFonts w:hint="default" w:ascii="Times New Roman" w:hAnsi="Times New Roman" w:eastAsia="方正仿宋_GBK" w:cs="Times New Roman"/>
          <w:color w:val="000000"/>
          <w:sz w:val="33"/>
          <w:szCs w:val="33"/>
        </w:rPr>
        <w:t>（款）</w:t>
      </w:r>
      <w:r>
        <w:rPr>
          <w:rFonts w:hint="eastAsia" w:eastAsia="方正仿宋_GBK" w:cs="Times New Roman"/>
          <w:b w:val="0"/>
          <w:bCs w:val="0"/>
          <w:color w:val="000000"/>
          <w:sz w:val="33"/>
          <w:szCs w:val="33"/>
          <w:lang w:val="en" w:eastAsia="zh-CN"/>
        </w:rPr>
        <w:t>其他自然资源事务支出（</w:t>
      </w:r>
      <w:r>
        <w:rPr>
          <w:rFonts w:hint="eastAsia" w:eastAsia="方正仿宋_GBK" w:cs="Times New Roman"/>
          <w:b w:val="0"/>
          <w:bCs w:val="0"/>
          <w:color w:val="000000"/>
          <w:sz w:val="33"/>
          <w:szCs w:val="33"/>
          <w:lang w:val="en-US" w:eastAsia="zh-CN"/>
        </w:rPr>
        <w:t>项</w:t>
      </w:r>
      <w:r>
        <w:rPr>
          <w:rFonts w:hint="eastAsia" w:eastAsia="方正仿宋_GBK" w:cs="Times New Roman"/>
          <w:b w:val="0"/>
          <w:bCs w:val="0"/>
          <w:color w:val="000000"/>
          <w:sz w:val="33"/>
          <w:szCs w:val="33"/>
          <w:lang w:val="en" w:eastAsia="zh-CN"/>
        </w:rPr>
        <w:t>）：</w:t>
      </w:r>
      <w:r>
        <w:rPr>
          <w:rFonts w:hint="eastAsia" w:eastAsia="方正仿宋_GBK" w:cs="Times New Roman"/>
          <w:b w:val="0"/>
          <w:bCs w:val="0"/>
          <w:color w:val="000000"/>
          <w:sz w:val="33"/>
          <w:szCs w:val="33"/>
          <w:lang w:val="en-US" w:eastAsia="zh-CN"/>
        </w:rPr>
        <w:t>指其他用于</w:t>
      </w:r>
      <w:r>
        <w:rPr>
          <w:rFonts w:hint="default" w:ascii="Times New Roman" w:hAnsi="Times New Roman" w:eastAsia="方正仿宋_GBK" w:cs="Times New Roman"/>
          <w:color w:val="000000"/>
          <w:sz w:val="33"/>
          <w:szCs w:val="33"/>
          <w:lang w:eastAsia="zh-CN"/>
        </w:rPr>
        <w:t>自然资源事务</w:t>
      </w:r>
      <w:r>
        <w:rPr>
          <w:rFonts w:hint="eastAsia" w:ascii="Times New Roman" w:hAnsi="Times New Roman" w:eastAsia="方正仿宋_GBK" w:cs="Times New Roman"/>
          <w:color w:val="000000"/>
          <w:sz w:val="33"/>
          <w:szCs w:val="33"/>
          <w:lang w:val="en-US" w:eastAsia="zh-CN"/>
        </w:rPr>
        <w:t>方面的支出。</w:t>
      </w:r>
    </w:p>
    <w:p w14:paraId="7987B51D">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color w:val="000000"/>
          <w:sz w:val="33"/>
          <w:szCs w:val="33"/>
        </w:rPr>
      </w:pPr>
      <w:r>
        <w:rPr>
          <w:rFonts w:hint="eastAsia" w:eastAsia="方正仿宋_GBK" w:cs="Times New Roman"/>
          <w:b w:val="0"/>
          <w:bCs w:val="0"/>
          <w:color w:val="000000"/>
          <w:sz w:val="33"/>
          <w:szCs w:val="33"/>
          <w:lang w:val="en" w:eastAsia="zh-CN"/>
        </w:rPr>
        <w:t>粮油物资储备支出</w:t>
      </w:r>
      <w:r>
        <w:rPr>
          <w:rFonts w:hint="eastAsia" w:eastAsia="方正仿宋_GBK" w:cs="Times New Roman"/>
          <w:b w:val="0"/>
          <w:bCs w:val="0"/>
          <w:color w:val="000000"/>
          <w:sz w:val="33"/>
          <w:szCs w:val="33"/>
          <w:lang w:val="en-US" w:eastAsia="zh-CN"/>
        </w:rPr>
        <w:t>（类）粮油物资事务（款）事业运行（</w:t>
      </w:r>
      <w:r>
        <w:rPr>
          <w:rFonts w:hint="eastAsia" w:eastAsia="方正仿宋_GBK" w:cs="Times New Roman"/>
          <w:b w:val="0"/>
          <w:bCs w:val="0"/>
          <w:color w:val="000000"/>
          <w:sz w:val="33"/>
          <w:szCs w:val="33"/>
          <w:lang w:val="en" w:eastAsia="zh-CN"/>
        </w:rPr>
        <w:t>项）：</w:t>
      </w:r>
      <w:r>
        <w:rPr>
          <w:rFonts w:hint="eastAsia" w:eastAsia="方正仿宋_GBK" w:cs="Times New Roman"/>
          <w:b w:val="0"/>
          <w:bCs w:val="0"/>
          <w:color w:val="000000"/>
          <w:sz w:val="33"/>
          <w:szCs w:val="33"/>
          <w:lang w:val="en-US" w:eastAsia="zh-CN"/>
        </w:rPr>
        <w:t>指其他用于粮油和物资事务方面的支出。</w:t>
      </w:r>
    </w:p>
    <w:p w14:paraId="39E09F31">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基本支出：指为保障机构正常运转、完成日常工作任务而发生的人员支出和公用支出。</w:t>
      </w:r>
    </w:p>
    <w:p w14:paraId="0B4B4479">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项目支出：指在基本支出之外为完成特定行政任务和事业发展目标所发生的支出。 </w:t>
      </w:r>
    </w:p>
    <w:p w14:paraId="7A7F6BD1">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sz w:val="33"/>
          <w:szCs w:val="33"/>
        </w:rPr>
      </w:pPr>
      <w:r>
        <w:rPr>
          <w:rFonts w:hint="default" w:ascii="Times New Roman" w:hAnsi="Times New Roman" w:eastAsia="方正仿宋_GBK" w:cs="Times New Roman"/>
          <w:color w:val="000000"/>
          <w:sz w:val="33"/>
          <w:szCs w:val="33"/>
        </w:rPr>
        <w:t>经营支出：指事业单位在专业业务活动及其辅助活动之外开展非独立核算经营活动发生的支出。</w:t>
      </w:r>
    </w:p>
    <w:p w14:paraId="57FB8319">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
        </w:rPr>
        <w:t>“三公”经费</w:t>
      </w:r>
      <w:r>
        <w:rPr>
          <w:rFonts w:hint="default" w:ascii="Times New Roman" w:hAnsi="Times New Roman" w:eastAsia="方正仿宋_GBK" w:cs="Times New Roman"/>
          <w:sz w:val="33"/>
          <w:szCs w:val="33"/>
        </w:rPr>
        <w:t>：指</w:t>
      </w:r>
      <w:r>
        <w:rPr>
          <w:rFonts w:hint="default" w:ascii="Times New Roman" w:hAnsi="Times New Roman" w:eastAsia="方正仿宋_GBK" w:cs="Times New Roman"/>
          <w:sz w:val="33"/>
          <w:szCs w:val="33"/>
          <w:lang w:val="en"/>
        </w:rPr>
        <w:t>单位</w:t>
      </w:r>
      <w:r>
        <w:rPr>
          <w:rFonts w:hint="default" w:ascii="Times New Roman" w:hAnsi="Times New Roman" w:eastAsia="方正仿宋_GBK" w:cs="Times New Roman"/>
          <w:sz w:val="33"/>
          <w:szCs w:val="33"/>
        </w:rPr>
        <w:t>用财政拨款安排的因公出国（境）费、公务用车购置及运行费和公务接待费。公务用车购置及运行费反映单位公务用车车辆购置支出（含车辆购置税）及租用费、燃料费、维修费、过路过桥费、保险费等支出；公务接待费反映单位按规定开支的各类公务接待（含外宾接待）支出。</w:t>
      </w:r>
    </w:p>
    <w:p w14:paraId="5CDDF01F">
      <w:pPr>
        <w:pStyle w:val="30"/>
        <w:keepNext w:val="0"/>
        <w:keepLines w:val="0"/>
        <w:pageBreakBefore w:val="0"/>
        <w:widowControl w:val="0"/>
        <w:numPr>
          <w:ilvl w:val="0"/>
          <w:numId w:val="4"/>
        </w:numPr>
        <w:kinsoku/>
        <w:wordWrap/>
        <w:overflowPunct/>
        <w:topLinePunct w:val="0"/>
        <w:bidi w:val="0"/>
        <w:snapToGrid/>
        <w:spacing w:line="600" w:lineRule="exact"/>
        <w:ind w:left="0" w:leftChars="0" w:firstLine="660" w:firstLineChars="200"/>
        <w:textAlignment w:val="auto"/>
        <w:outlineLvl w:val="1"/>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AF8692D">
      <w:pPr>
        <w:rPr>
          <w:rFonts w:hint="default" w:ascii="Times New Roman" w:hAnsi="Times New Roman" w:eastAsia="方正小标宋_GBK" w:cs="Times New Roman"/>
          <w:color w:val="000000"/>
          <w:sz w:val="44"/>
          <w:szCs w:val="44"/>
        </w:rPr>
      </w:pPr>
      <w:bookmarkStart w:id="79" w:name="_Toc15396614"/>
      <w:bookmarkStart w:id="80" w:name="_Toc714564728"/>
      <w:bookmarkStart w:id="81" w:name="_Toc15377226"/>
      <w:r>
        <w:rPr>
          <w:rFonts w:hint="default" w:ascii="Times New Roman" w:hAnsi="Times New Roman" w:eastAsia="方正小标宋_GBK" w:cs="Times New Roman"/>
          <w:color w:val="000000"/>
          <w:sz w:val="44"/>
          <w:szCs w:val="44"/>
        </w:rPr>
        <w:br w:type="page"/>
      </w:r>
    </w:p>
    <w:p w14:paraId="389E0631">
      <w:pPr>
        <w:bidi w:val="0"/>
        <w:jc w:val="center"/>
        <w:rPr>
          <w:rStyle w:val="32"/>
          <w:rFonts w:hint="default" w:ascii="Times New Roman" w:hAnsi="Times New Roman" w:eastAsia="方正小标宋_GBK" w:cs="Times New Roman"/>
          <w:b w:val="0"/>
        </w:rPr>
      </w:pPr>
      <w:r>
        <w:rPr>
          <w:rFonts w:hint="default" w:ascii="Times New Roman" w:hAnsi="Times New Roman" w:eastAsia="方正小标宋_GBK" w:cs="Times New Roman"/>
          <w:color w:val="000000"/>
          <w:sz w:val="44"/>
          <w:szCs w:val="44"/>
        </w:rPr>
        <w:t>第</w:t>
      </w:r>
      <w:r>
        <w:rPr>
          <w:rStyle w:val="32"/>
          <w:rFonts w:hint="default" w:ascii="Times New Roman" w:hAnsi="Times New Roman" w:eastAsia="方正小标宋_GBK" w:cs="Times New Roman"/>
          <w:b w:val="0"/>
        </w:rPr>
        <w:t>四部分 附件</w:t>
      </w:r>
      <w:bookmarkEnd w:id="79"/>
      <w:bookmarkEnd w:id="80"/>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14"/>
        <w:gridCol w:w="646"/>
        <w:gridCol w:w="790"/>
        <w:gridCol w:w="991"/>
        <w:gridCol w:w="454"/>
        <w:gridCol w:w="746"/>
        <w:gridCol w:w="452"/>
        <w:gridCol w:w="904"/>
        <w:gridCol w:w="423"/>
        <w:gridCol w:w="425"/>
        <w:gridCol w:w="2527"/>
      </w:tblGrid>
      <w:tr w14:paraId="045B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BF0FA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w:t>
            </w:r>
          </w:p>
        </w:tc>
      </w:tr>
      <w:tr w14:paraId="221D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8B7E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26986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51160022T000000414015－不动产登记工作预算差额经费</w:t>
            </w:r>
          </w:p>
        </w:tc>
      </w:tr>
      <w:tr w14:paraId="4BBB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CB6C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1D3F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广安市自然资源和规划局部门</w:t>
            </w:r>
          </w:p>
        </w:tc>
        <w:tc>
          <w:tcPr>
            <w:tcW w:w="502" w:type="pct"/>
            <w:tcBorders>
              <w:top w:val="nil"/>
              <w:left w:val="nil"/>
              <w:bottom w:val="nil"/>
              <w:right w:val="nil"/>
            </w:tcBorders>
            <w:shd w:val="clear" w:color="auto" w:fill="auto"/>
            <w:vAlign w:val="center"/>
          </w:tcPr>
          <w:p w14:paraId="79C3497D">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3C1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广安市不动产登记中心</w:t>
            </w:r>
          </w:p>
        </w:tc>
      </w:tr>
      <w:tr w14:paraId="57B6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02AF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D690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6830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3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3B73AD">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88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FD30E">
            <w:pPr>
              <w:snapToGrid w:val="0"/>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16A03">
            <w:pPr>
              <w:snapToGrid w:val="0"/>
              <w:rPr>
                <w:rFonts w:hint="eastAsia" w:ascii="宋体" w:hAnsi="宋体" w:eastAsia="宋体" w:cs="宋体"/>
                <w:i w:val="0"/>
                <w:iCs w:val="0"/>
                <w:color w:val="000000"/>
                <w:sz w:val="18"/>
                <w:szCs w:val="18"/>
                <w:u w:val="none"/>
              </w:rPr>
            </w:pPr>
          </w:p>
        </w:tc>
        <w:tc>
          <w:tcPr>
            <w:tcW w:w="19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96A1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确保不动产登记业务便民、高效、规范开展，负责辖区不动产登记档案的查询利用，承担市级及辖区不动产的登记发证工作，包括首次登记、变更登记、转移登记、抵押登记。</w:t>
            </w:r>
          </w:p>
        </w:tc>
        <w:tc>
          <w:tcPr>
            <w:tcW w:w="23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0EB1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理不动产登记申请89519件，发放证书（证明）74202本；持续开展上门服务、延时服务、周六不打烊预约服务等共计60余次；为特殊企业和群众开设预约登记135件（其中涉及查询3675户，抵押3937个单元）；绿色通道办理29件，通过政府买单实现不动产证书证明免费送达，寄送证书证明566件，切切实实为群众办实事。</w:t>
            </w:r>
          </w:p>
        </w:tc>
      </w:tr>
      <w:tr w14:paraId="28EA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808C9">
            <w:pPr>
              <w:snapToGrid w:val="0"/>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4B7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00518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7月入驻广安市民服务中心，设立综合受理岗位12个，由原有的分类设置接件模式改为所有业务综合接件，受理窗口可办理任何种类的不动产登记业务，改变了过去业务分散、独立办理的现状，后台审核人员也从“单一业务审核”转变为“全业务审核”，平均办理各类业务200余件/日，平均用时10分钟/件，工作更加高效。</w:t>
            </w:r>
          </w:p>
        </w:tc>
      </w:tr>
      <w:tr w14:paraId="724F8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D77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FD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9F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42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012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6A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EE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B8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0A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F03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53E1E">
            <w:pPr>
              <w:snapToGrid w:val="0"/>
              <w:jc w:val="center"/>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0B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B8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10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163.31</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717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163.31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C2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F0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30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4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4A63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98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64AF2">
            <w:pPr>
              <w:snapToGrid w:val="0"/>
              <w:jc w:val="center"/>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96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F9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87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163.31</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E41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163.31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50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9C4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5C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E2CEB">
            <w:pPr>
              <w:snapToGrid w:val="0"/>
              <w:rPr>
                <w:rFonts w:hint="eastAsia" w:ascii="黑体" w:hAnsi="黑体" w:eastAsia="黑体" w:cs="黑体"/>
                <w:i w:val="0"/>
                <w:iCs w:val="0"/>
                <w:color w:val="000000"/>
                <w:sz w:val="18"/>
                <w:szCs w:val="18"/>
                <w:u w:val="none"/>
              </w:rPr>
            </w:pPr>
          </w:p>
        </w:tc>
      </w:tr>
      <w:tr w14:paraId="70D4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3460B">
            <w:pPr>
              <w:snapToGrid w:val="0"/>
              <w:jc w:val="center"/>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E7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A9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86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1EA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47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80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132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85987">
            <w:pPr>
              <w:snapToGrid w:val="0"/>
              <w:rPr>
                <w:rFonts w:hint="eastAsia" w:ascii="黑体" w:hAnsi="黑体" w:eastAsia="黑体" w:cs="黑体"/>
                <w:i w:val="0"/>
                <w:iCs w:val="0"/>
                <w:color w:val="000000"/>
                <w:sz w:val="18"/>
                <w:szCs w:val="18"/>
                <w:u w:val="none"/>
              </w:rPr>
            </w:pPr>
          </w:p>
        </w:tc>
      </w:tr>
      <w:tr w14:paraId="2066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35EF">
            <w:pPr>
              <w:snapToGrid w:val="0"/>
              <w:jc w:val="center"/>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6F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10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65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462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20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61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40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CDE3B">
            <w:pPr>
              <w:snapToGrid w:val="0"/>
              <w:rPr>
                <w:rFonts w:hint="eastAsia" w:ascii="黑体" w:hAnsi="黑体" w:eastAsia="黑体" w:cs="黑体"/>
                <w:i w:val="0"/>
                <w:iCs w:val="0"/>
                <w:color w:val="000000"/>
                <w:sz w:val="18"/>
                <w:szCs w:val="18"/>
                <w:u w:val="none"/>
              </w:rPr>
            </w:pPr>
          </w:p>
        </w:tc>
      </w:tr>
      <w:tr w14:paraId="38EA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11C7">
            <w:pPr>
              <w:snapToGrid w:val="0"/>
              <w:jc w:val="center"/>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4B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EE54">
            <w:pPr>
              <w:snapToGrid w:val="0"/>
              <w:jc w:val="center"/>
              <w:rPr>
                <w:rFonts w:hint="eastAsia" w:ascii="微软雅黑" w:hAnsi="微软雅黑" w:eastAsia="微软雅黑" w:cs="微软雅黑"/>
                <w:i/>
                <w:iCs/>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3087">
            <w:pPr>
              <w:snapToGrid w:val="0"/>
              <w:jc w:val="center"/>
              <w:rPr>
                <w:rFonts w:hint="eastAsia" w:ascii="微软雅黑" w:hAnsi="微软雅黑" w:eastAsia="微软雅黑" w:cs="微软雅黑"/>
                <w:i/>
                <w:iCs/>
                <w:color w:val="000000"/>
                <w:sz w:val="16"/>
                <w:szCs w:val="16"/>
                <w:u w:val="none"/>
              </w:rPr>
            </w:pP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A4B55">
            <w:pPr>
              <w:snapToGrid w:val="0"/>
              <w:jc w:val="center"/>
              <w:rPr>
                <w:rFonts w:hint="eastAsia" w:ascii="微软雅黑" w:hAnsi="微软雅黑" w:eastAsia="微软雅黑" w:cs="微软雅黑"/>
                <w:i/>
                <w:iCs/>
                <w:color w:val="000000"/>
                <w:sz w:val="16"/>
                <w:szCs w:val="16"/>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1E7F">
            <w:pPr>
              <w:snapToGrid w:val="0"/>
              <w:jc w:val="center"/>
              <w:rPr>
                <w:rFonts w:hint="eastAsia" w:ascii="微软雅黑" w:hAnsi="微软雅黑" w:eastAsia="微软雅黑" w:cs="微软雅黑"/>
                <w:i/>
                <w:iCs/>
                <w:color w:val="000000"/>
                <w:sz w:val="16"/>
                <w:szCs w:val="16"/>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62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41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D6B3">
            <w:pPr>
              <w:snapToGrid w:val="0"/>
              <w:rPr>
                <w:rFonts w:hint="eastAsia" w:ascii="黑体" w:hAnsi="黑体" w:eastAsia="黑体" w:cs="黑体"/>
                <w:i w:val="0"/>
                <w:iCs w:val="0"/>
                <w:color w:val="000000"/>
                <w:sz w:val="18"/>
                <w:szCs w:val="18"/>
                <w:u w:val="none"/>
              </w:rPr>
            </w:pPr>
          </w:p>
        </w:tc>
      </w:tr>
      <w:tr w14:paraId="37A4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2E9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CF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51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17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4D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82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12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3B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9C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12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00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4B2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D9AB5">
            <w:pPr>
              <w:snapToGrid w:val="0"/>
              <w:jc w:val="center"/>
              <w:rPr>
                <w:rFonts w:hint="eastAsia" w:ascii="宋体" w:hAnsi="宋体" w:eastAsia="宋体" w:cs="宋体"/>
                <w:i w:val="0"/>
                <w:iCs w:val="0"/>
                <w:color w:val="000000"/>
                <w:sz w:val="18"/>
                <w:szCs w:val="18"/>
                <w:u w:val="none"/>
              </w:rPr>
            </w:pP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719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24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4B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全年完成登记工作目标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47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3E7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CA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2D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74202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0B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C5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7374">
            <w:pPr>
              <w:snapToGrid w:val="0"/>
              <w:jc w:val="center"/>
              <w:rPr>
                <w:rFonts w:hint="eastAsia" w:ascii="微软雅黑" w:hAnsi="微软雅黑" w:eastAsia="微软雅黑" w:cs="微软雅黑"/>
                <w:i/>
                <w:iCs/>
                <w:color w:val="000000"/>
                <w:sz w:val="16"/>
                <w:szCs w:val="16"/>
                <w:u w:val="none"/>
              </w:rPr>
            </w:pPr>
          </w:p>
        </w:tc>
      </w:tr>
      <w:tr w14:paraId="4E92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02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D22F8">
            <w:pPr>
              <w:snapToGrid w:val="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0D14C">
            <w:pPr>
              <w:snapToGrid w:val="0"/>
              <w:jc w:val="center"/>
              <w:rPr>
                <w:rFonts w:hint="eastAsia" w:ascii="宋体" w:hAnsi="宋体" w:eastAsia="宋体" w:cs="宋体"/>
                <w:i w:val="0"/>
                <w:iCs w:val="0"/>
                <w:color w:val="000000"/>
                <w:sz w:val="18"/>
                <w:szCs w:val="18"/>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55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4D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上门服务、延时服务等</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FE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86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B5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11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9E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A2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8CAA">
            <w:pPr>
              <w:snapToGrid w:val="0"/>
              <w:jc w:val="center"/>
              <w:rPr>
                <w:rFonts w:hint="eastAsia" w:ascii="微软雅黑" w:hAnsi="微软雅黑" w:eastAsia="微软雅黑" w:cs="微软雅黑"/>
                <w:i/>
                <w:iCs/>
                <w:color w:val="000000"/>
                <w:sz w:val="16"/>
                <w:szCs w:val="16"/>
                <w:u w:val="none"/>
              </w:rPr>
            </w:pPr>
          </w:p>
        </w:tc>
      </w:tr>
      <w:tr w14:paraId="3E6B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ADDC8">
            <w:pPr>
              <w:snapToGrid w:val="0"/>
              <w:jc w:val="center"/>
              <w:rPr>
                <w:rFonts w:hint="eastAsia" w:ascii="宋体" w:hAnsi="宋体" w:eastAsia="宋体" w:cs="宋体"/>
                <w:i w:val="0"/>
                <w:iCs w:val="0"/>
                <w:color w:val="000000"/>
                <w:sz w:val="18"/>
                <w:szCs w:val="18"/>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10FFB">
            <w:pPr>
              <w:snapToGrid w:val="0"/>
              <w:jc w:val="center"/>
              <w:rPr>
                <w:rFonts w:hint="eastAsia" w:ascii="宋体" w:hAnsi="宋体" w:eastAsia="宋体" w:cs="宋体"/>
                <w:i w:val="0"/>
                <w:iCs w:val="0"/>
                <w:color w:val="000000"/>
                <w:sz w:val="18"/>
                <w:szCs w:val="18"/>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63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E5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带押过户</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74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5C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24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59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F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52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F4DD">
            <w:pPr>
              <w:snapToGrid w:val="0"/>
              <w:jc w:val="center"/>
              <w:rPr>
                <w:rFonts w:hint="eastAsia" w:ascii="微软雅黑" w:hAnsi="微软雅黑" w:eastAsia="微软雅黑" w:cs="微软雅黑"/>
                <w:i/>
                <w:iCs/>
                <w:color w:val="000000"/>
                <w:sz w:val="16"/>
                <w:szCs w:val="16"/>
                <w:u w:val="none"/>
              </w:rPr>
            </w:pPr>
          </w:p>
        </w:tc>
      </w:tr>
      <w:tr w14:paraId="0C92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1313C">
            <w:pPr>
              <w:snapToGrid w:val="0"/>
              <w:jc w:val="center"/>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BA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D2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6D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登记证书免费寄送</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74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E4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99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F9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BD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78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04F1">
            <w:pPr>
              <w:snapToGrid w:val="0"/>
              <w:jc w:val="center"/>
              <w:rPr>
                <w:rFonts w:hint="eastAsia" w:ascii="微软雅黑" w:hAnsi="微软雅黑" w:eastAsia="微软雅黑" w:cs="微软雅黑"/>
                <w:i/>
                <w:iCs/>
                <w:color w:val="000000"/>
                <w:sz w:val="16"/>
                <w:szCs w:val="16"/>
                <w:u w:val="none"/>
              </w:rPr>
            </w:pPr>
          </w:p>
        </w:tc>
      </w:tr>
      <w:tr w14:paraId="5D48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23348">
            <w:pPr>
              <w:snapToGrid w:val="0"/>
              <w:jc w:val="center"/>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54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48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17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4C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9E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54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98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82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AA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6726">
            <w:pPr>
              <w:snapToGrid w:val="0"/>
              <w:jc w:val="center"/>
              <w:rPr>
                <w:rFonts w:hint="eastAsia" w:ascii="微软雅黑" w:hAnsi="微软雅黑" w:eastAsia="微软雅黑" w:cs="微软雅黑"/>
                <w:i/>
                <w:iCs/>
                <w:color w:val="000000"/>
                <w:sz w:val="16"/>
                <w:szCs w:val="16"/>
                <w:u w:val="none"/>
              </w:rPr>
            </w:pPr>
          </w:p>
        </w:tc>
      </w:tr>
      <w:tr w14:paraId="2121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B68B0">
            <w:pPr>
              <w:snapToGrid w:val="0"/>
              <w:jc w:val="center"/>
              <w:rPr>
                <w:rFonts w:hint="eastAsia" w:ascii="宋体" w:hAnsi="宋体" w:eastAsia="宋体" w:cs="宋体"/>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0F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F2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8D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全年需要163.31万元</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B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64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163.31</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94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A4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163.31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85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3F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7BC8">
            <w:pPr>
              <w:snapToGrid w:val="0"/>
              <w:jc w:val="center"/>
              <w:rPr>
                <w:rFonts w:hint="eastAsia" w:ascii="微软雅黑" w:hAnsi="微软雅黑" w:eastAsia="微软雅黑" w:cs="微软雅黑"/>
                <w:i/>
                <w:iCs/>
                <w:color w:val="000000"/>
                <w:sz w:val="16"/>
                <w:szCs w:val="16"/>
                <w:u w:val="none"/>
              </w:rPr>
            </w:pPr>
          </w:p>
        </w:tc>
      </w:tr>
      <w:tr w14:paraId="68BF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1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D575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94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406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380F">
            <w:pPr>
              <w:snapToGrid w:val="0"/>
              <w:rPr>
                <w:rFonts w:hint="eastAsia" w:ascii="宋体" w:hAnsi="宋体" w:eastAsia="宋体" w:cs="宋体"/>
                <w:i w:val="0"/>
                <w:iCs w:val="0"/>
                <w:color w:val="000000"/>
                <w:sz w:val="18"/>
                <w:szCs w:val="18"/>
                <w:u w:val="none"/>
              </w:rPr>
            </w:pPr>
          </w:p>
        </w:tc>
      </w:tr>
      <w:tr w14:paraId="5E32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33"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A7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7079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达到年初设定的各项指标，目标任务圆满完成。</w:t>
            </w:r>
          </w:p>
        </w:tc>
      </w:tr>
      <w:tr w14:paraId="1003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86"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59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5DC79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预算涉及单位的每个部门，但在具体的执行中，有时却出现财务管理部门“一肩挑”的情况，各部门对预算重视不够。</w:t>
            </w:r>
          </w:p>
        </w:tc>
      </w:tr>
      <w:tr w14:paraId="3943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47"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CA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D752D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首先单位领导要高度重视，组织各部门协同合作，提高各部门参与的意识；其次财务部门作为预算绩效管理的重要主体，要认真对待这项专业性和严谨性都极强的工作。</w:t>
            </w:r>
          </w:p>
        </w:tc>
      </w:tr>
      <w:tr w14:paraId="4F38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44" w:hRule="atLeast"/>
          <w:jc w:val="center"/>
        </w:trPr>
        <w:tc>
          <w:tcPr>
            <w:tcW w:w="19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74296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项目负责人：梁建华</w:t>
            </w:r>
          </w:p>
        </w:tc>
        <w:tc>
          <w:tcPr>
            <w:tcW w:w="305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BBB06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财务负责人：陈小兵</w:t>
            </w:r>
          </w:p>
        </w:tc>
      </w:tr>
    </w:tbl>
    <w:p w14:paraId="767D794C">
      <w:pPr>
        <w:spacing w:line="600" w:lineRule="exact"/>
        <w:jc w:val="center"/>
        <w:outlineLvl w:val="9"/>
        <w:rPr>
          <w:rStyle w:val="32"/>
          <w:rFonts w:ascii="黑体" w:hAnsi="黑体" w:eastAsia="黑体"/>
          <w:b w:val="0"/>
        </w:rPr>
      </w:pPr>
    </w:p>
    <w:p w14:paraId="6F5C3D58">
      <w:pPr>
        <w:pStyle w:val="2"/>
        <w:rPr>
          <w:rStyle w:val="32"/>
          <w:rFonts w:ascii="黑体" w:hAnsi="黑体" w:eastAsia="黑体"/>
          <w:b w:val="0"/>
        </w:rPr>
      </w:pPr>
    </w:p>
    <w:p w14:paraId="37F7D206">
      <w:pPr>
        <w:pStyle w:val="3"/>
        <w:rPr>
          <w:rStyle w:val="32"/>
          <w:rFonts w:ascii="黑体" w:hAnsi="黑体" w:eastAsia="黑体"/>
          <w:b w:val="0"/>
        </w:rPr>
      </w:pPr>
    </w:p>
    <w:p w14:paraId="1E6590BF">
      <w:pPr>
        <w:rPr>
          <w:rStyle w:val="32"/>
          <w:rFonts w:ascii="黑体" w:hAnsi="黑体" w:eastAsia="黑体"/>
          <w:b w:val="0"/>
        </w:rPr>
      </w:pPr>
    </w:p>
    <w:p w14:paraId="7B5E3DEC">
      <w:pPr>
        <w:pStyle w:val="2"/>
        <w:rPr>
          <w:rStyle w:val="32"/>
          <w:rFonts w:ascii="黑体" w:hAnsi="黑体" w:eastAsia="黑体"/>
          <w:b w:val="0"/>
        </w:rPr>
      </w:pPr>
    </w:p>
    <w:p w14:paraId="1F251E1B">
      <w:pPr>
        <w:pStyle w:val="3"/>
        <w:rPr>
          <w:rStyle w:val="32"/>
          <w:rFonts w:ascii="黑体" w:hAnsi="黑体" w:eastAsia="黑体"/>
          <w:b w:val="0"/>
        </w:rPr>
      </w:pPr>
    </w:p>
    <w:p w14:paraId="669B8E47">
      <w:pPr>
        <w:rPr>
          <w:rStyle w:val="32"/>
          <w:rFonts w:ascii="黑体" w:hAnsi="黑体" w:eastAsia="黑体"/>
          <w:b w:val="0"/>
        </w:rPr>
      </w:pPr>
      <w:r>
        <w:rPr>
          <w:rStyle w:val="32"/>
          <w:rFonts w:ascii="黑体" w:hAnsi="黑体" w:eastAsia="黑体"/>
          <w:b w:val="0"/>
        </w:rPr>
        <w:br w:type="page"/>
      </w:r>
    </w:p>
    <w:p w14:paraId="5A4408CA">
      <w:pPr>
        <w:pStyle w:val="2"/>
      </w:pPr>
    </w:p>
    <w:p w14:paraId="2AC88E78">
      <w:pPr>
        <w:spacing w:line="600" w:lineRule="exact"/>
        <w:jc w:val="center"/>
        <w:outlineLvl w:val="0"/>
        <w:rPr>
          <w:rStyle w:val="32"/>
          <w:rFonts w:hint="eastAsia" w:ascii="方正小标宋_GBK" w:hAnsi="方正小标宋_GBK" w:eastAsia="方正小标宋_GBK" w:cs="方正小标宋_GBK"/>
          <w:b w:val="0"/>
        </w:rPr>
      </w:pPr>
      <w:bookmarkStart w:id="82" w:name="_Toc15396618"/>
      <w:bookmarkStart w:id="83" w:name="_Toc1929940136"/>
      <w:r>
        <w:rPr>
          <w:rFonts w:hint="eastAsia" w:ascii="方正小标宋_GBK" w:hAnsi="方正小标宋_GBK" w:eastAsia="方正小标宋_GBK" w:cs="方正小标宋_GBK"/>
          <w:color w:val="000000"/>
          <w:sz w:val="44"/>
          <w:szCs w:val="44"/>
        </w:rPr>
        <w:t>第</w:t>
      </w:r>
      <w:r>
        <w:rPr>
          <w:rStyle w:val="32"/>
          <w:rFonts w:hint="eastAsia" w:ascii="方正小标宋_GBK" w:hAnsi="方正小标宋_GBK" w:eastAsia="方正小标宋_GBK" w:cs="方正小标宋_GBK"/>
          <w:b w:val="0"/>
        </w:rPr>
        <w:t>五部分 附表</w:t>
      </w:r>
      <w:bookmarkEnd w:id="81"/>
      <w:bookmarkEnd w:id="82"/>
      <w:bookmarkEnd w:id="83"/>
    </w:p>
    <w:p w14:paraId="3A454666">
      <w:pPr>
        <w:pStyle w:val="23"/>
        <w:rPr>
          <w:rFonts w:hint="eastAsia"/>
        </w:rPr>
      </w:pPr>
    </w:p>
    <w:p w14:paraId="624F6B7D">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olor w:val="000000"/>
        </w:rPr>
      </w:pPr>
      <w:bookmarkStart w:id="84" w:name="_Toc10538"/>
      <w:bookmarkStart w:id="85" w:name="_Toc15396619"/>
      <w:bookmarkStart w:id="86" w:name="_Toc1251119030"/>
      <w:r>
        <w:rPr>
          <w:rFonts w:hint="eastAsia" w:ascii="仿宋" w:hAnsi="仿宋" w:eastAsia="仿宋"/>
          <w:b w:val="0"/>
          <w:color w:val="000000"/>
        </w:rPr>
        <w:t>一、收</w:t>
      </w:r>
      <w:r>
        <w:rPr>
          <w:rStyle w:val="33"/>
          <w:rFonts w:hint="eastAsia" w:ascii="仿宋" w:hAnsi="仿宋" w:eastAsia="仿宋"/>
          <w:b w:val="0"/>
          <w:bCs w:val="0"/>
        </w:rPr>
        <w:t>入支出决算总表</w:t>
      </w:r>
      <w:bookmarkEnd w:id="84"/>
      <w:bookmarkEnd w:id="85"/>
      <w:bookmarkEnd w:id="86"/>
    </w:p>
    <w:p w14:paraId="46CA4DEE">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olor w:val="000000"/>
        </w:rPr>
      </w:pPr>
      <w:bookmarkStart w:id="87" w:name="_Toc15396620"/>
      <w:bookmarkStart w:id="88" w:name="_Toc1801523077"/>
      <w:bookmarkStart w:id="89" w:name="_Toc6403"/>
      <w:r>
        <w:rPr>
          <w:rFonts w:hint="eastAsia" w:ascii="仿宋" w:hAnsi="仿宋" w:eastAsia="仿宋"/>
          <w:b w:val="0"/>
          <w:color w:val="000000"/>
        </w:rPr>
        <w:t>二、收</w:t>
      </w:r>
      <w:r>
        <w:rPr>
          <w:rStyle w:val="33"/>
          <w:rFonts w:hint="eastAsia" w:ascii="仿宋" w:hAnsi="仿宋" w:eastAsia="仿宋"/>
          <w:b w:val="0"/>
          <w:bCs w:val="0"/>
        </w:rPr>
        <w:t>入决算表</w:t>
      </w:r>
      <w:bookmarkEnd w:id="87"/>
      <w:bookmarkEnd w:id="88"/>
      <w:bookmarkEnd w:id="89"/>
    </w:p>
    <w:p w14:paraId="271C8509">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olor w:val="000000"/>
        </w:rPr>
      </w:pPr>
      <w:bookmarkStart w:id="90" w:name="_Toc19738"/>
      <w:bookmarkStart w:id="91" w:name="_Toc15396621"/>
      <w:bookmarkStart w:id="92" w:name="_Toc288362409"/>
      <w:r>
        <w:rPr>
          <w:rStyle w:val="33"/>
          <w:rFonts w:hint="eastAsia" w:ascii="仿宋" w:hAnsi="仿宋" w:eastAsia="仿宋"/>
          <w:b w:val="0"/>
          <w:bCs w:val="0"/>
        </w:rPr>
        <w:t>三、</w:t>
      </w:r>
      <w:r>
        <w:rPr>
          <w:rFonts w:hint="eastAsia" w:ascii="仿宋" w:hAnsi="仿宋" w:eastAsia="仿宋"/>
          <w:b w:val="0"/>
          <w:color w:val="000000"/>
        </w:rPr>
        <w:t>支</w:t>
      </w:r>
      <w:r>
        <w:rPr>
          <w:rStyle w:val="33"/>
          <w:rFonts w:hint="eastAsia" w:ascii="仿宋" w:hAnsi="仿宋" w:eastAsia="仿宋"/>
          <w:b w:val="0"/>
          <w:bCs w:val="0"/>
        </w:rPr>
        <w:t>出决算表</w:t>
      </w:r>
      <w:bookmarkEnd w:id="90"/>
      <w:bookmarkEnd w:id="91"/>
      <w:bookmarkEnd w:id="92"/>
    </w:p>
    <w:p w14:paraId="1A67D843">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b w:val="0"/>
          <w:color w:val="000000"/>
        </w:rPr>
      </w:pPr>
      <w:bookmarkStart w:id="93" w:name="_Toc15396622"/>
      <w:bookmarkStart w:id="94" w:name="_Toc13731"/>
      <w:bookmarkStart w:id="95" w:name="_Toc1308491825"/>
      <w:r>
        <w:rPr>
          <w:rStyle w:val="33"/>
          <w:rFonts w:hint="eastAsia" w:ascii="仿宋" w:hAnsi="仿宋" w:eastAsia="仿宋"/>
          <w:b w:val="0"/>
          <w:bCs w:val="0"/>
        </w:rPr>
        <w:t>四、</w:t>
      </w:r>
      <w:r>
        <w:rPr>
          <w:rFonts w:hint="eastAsia" w:ascii="仿宋" w:hAnsi="仿宋" w:eastAsia="仿宋"/>
          <w:b w:val="0"/>
          <w:color w:val="000000"/>
        </w:rPr>
        <w:t>财</w:t>
      </w:r>
      <w:r>
        <w:rPr>
          <w:rStyle w:val="33"/>
          <w:rFonts w:hint="eastAsia" w:ascii="仿宋" w:hAnsi="仿宋" w:eastAsia="仿宋"/>
          <w:b w:val="0"/>
          <w:bCs w:val="0"/>
        </w:rPr>
        <w:t>政拨款收入支出决算总表</w:t>
      </w:r>
      <w:bookmarkEnd w:id="93"/>
      <w:bookmarkEnd w:id="94"/>
      <w:bookmarkEnd w:id="95"/>
    </w:p>
    <w:p w14:paraId="760CF319">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Style w:val="33"/>
          <w:rFonts w:ascii="仿宋" w:hAnsi="仿宋" w:eastAsia="仿宋"/>
          <w:b w:val="0"/>
          <w:bCs w:val="0"/>
        </w:rPr>
      </w:pPr>
      <w:bookmarkStart w:id="96" w:name="_Toc451874171"/>
      <w:bookmarkStart w:id="97" w:name="_Toc32394"/>
      <w:bookmarkStart w:id="98" w:name="_Toc15396623"/>
      <w:r>
        <w:rPr>
          <w:rStyle w:val="33"/>
          <w:rFonts w:hint="eastAsia" w:ascii="仿宋" w:hAnsi="仿宋" w:eastAsia="仿宋"/>
          <w:b w:val="0"/>
          <w:bCs w:val="0"/>
        </w:rPr>
        <w:t>五、</w:t>
      </w:r>
      <w:r>
        <w:rPr>
          <w:rFonts w:hint="eastAsia" w:ascii="仿宋" w:hAnsi="仿宋" w:eastAsia="仿宋"/>
          <w:b w:val="0"/>
          <w:color w:val="000000"/>
        </w:rPr>
        <w:t>财</w:t>
      </w:r>
      <w:r>
        <w:rPr>
          <w:rStyle w:val="33"/>
          <w:rFonts w:hint="eastAsia" w:ascii="仿宋" w:hAnsi="仿宋" w:eastAsia="仿宋"/>
          <w:b w:val="0"/>
          <w:bCs w:val="0"/>
        </w:rPr>
        <w:t>政拨款支出决算明细表</w:t>
      </w:r>
      <w:bookmarkEnd w:id="96"/>
      <w:bookmarkEnd w:id="97"/>
      <w:bookmarkEnd w:id="98"/>
      <w:bookmarkStart w:id="99" w:name="_Toc15396624"/>
    </w:p>
    <w:p w14:paraId="5E79A77C">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olor w:val="000000"/>
        </w:rPr>
      </w:pPr>
      <w:bookmarkStart w:id="100" w:name="_Toc1816992461"/>
      <w:bookmarkStart w:id="101" w:name="_Toc10624"/>
      <w:r>
        <w:rPr>
          <w:rStyle w:val="33"/>
          <w:rFonts w:hint="eastAsia" w:ascii="仿宋" w:hAnsi="仿宋" w:eastAsia="仿宋"/>
          <w:b w:val="0"/>
          <w:bCs w:val="0"/>
        </w:rPr>
        <w:t>六、</w:t>
      </w:r>
      <w:r>
        <w:rPr>
          <w:rFonts w:hint="eastAsia" w:ascii="仿宋" w:hAnsi="仿宋" w:eastAsia="仿宋"/>
          <w:b w:val="0"/>
          <w:color w:val="000000"/>
        </w:rPr>
        <w:t>一</w:t>
      </w:r>
      <w:r>
        <w:rPr>
          <w:rStyle w:val="33"/>
          <w:rFonts w:hint="eastAsia" w:ascii="仿宋" w:hAnsi="仿宋" w:eastAsia="仿宋"/>
          <w:b w:val="0"/>
          <w:bCs w:val="0"/>
        </w:rPr>
        <w:t>般公共预算财政拨款支出决算表</w:t>
      </w:r>
      <w:bookmarkEnd w:id="99"/>
      <w:bookmarkEnd w:id="100"/>
      <w:bookmarkEnd w:id="101"/>
    </w:p>
    <w:p w14:paraId="6677CF41">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olor w:val="000000"/>
        </w:rPr>
      </w:pPr>
      <w:bookmarkStart w:id="102" w:name="_Toc12302"/>
      <w:bookmarkStart w:id="103" w:name="_Toc1294952882"/>
      <w:bookmarkStart w:id="104" w:name="_Toc15396625"/>
      <w:r>
        <w:rPr>
          <w:rStyle w:val="33"/>
          <w:rFonts w:hint="eastAsia" w:ascii="仿宋" w:hAnsi="仿宋" w:eastAsia="仿宋"/>
          <w:b w:val="0"/>
          <w:bCs w:val="0"/>
        </w:rPr>
        <w:t>七、</w:t>
      </w:r>
      <w:r>
        <w:rPr>
          <w:rFonts w:hint="eastAsia" w:ascii="仿宋" w:hAnsi="仿宋" w:eastAsia="仿宋"/>
          <w:b w:val="0"/>
          <w:color w:val="000000"/>
        </w:rPr>
        <w:t>一</w:t>
      </w:r>
      <w:r>
        <w:rPr>
          <w:rStyle w:val="33"/>
          <w:rFonts w:hint="eastAsia" w:ascii="仿宋" w:hAnsi="仿宋" w:eastAsia="仿宋"/>
          <w:b w:val="0"/>
          <w:bCs w:val="0"/>
        </w:rPr>
        <w:t>般公共预算财政拨款支出决算明细表</w:t>
      </w:r>
      <w:bookmarkEnd w:id="102"/>
      <w:bookmarkEnd w:id="103"/>
      <w:bookmarkEnd w:id="104"/>
    </w:p>
    <w:p w14:paraId="4CF25284">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olor w:val="000000"/>
        </w:rPr>
      </w:pPr>
      <w:bookmarkStart w:id="105" w:name="_Toc106828180"/>
      <w:bookmarkStart w:id="106" w:name="_Toc15396626"/>
      <w:bookmarkStart w:id="107" w:name="_Toc31946"/>
      <w:r>
        <w:rPr>
          <w:rStyle w:val="33"/>
          <w:rFonts w:hint="eastAsia" w:ascii="仿宋" w:hAnsi="仿宋" w:eastAsia="仿宋"/>
          <w:b w:val="0"/>
          <w:bCs w:val="0"/>
        </w:rPr>
        <w:t>八、</w:t>
      </w:r>
      <w:r>
        <w:rPr>
          <w:rFonts w:hint="eastAsia" w:ascii="仿宋" w:hAnsi="仿宋" w:eastAsia="仿宋"/>
          <w:b w:val="0"/>
          <w:color w:val="000000"/>
        </w:rPr>
        <w:t>一</w:t>
      </w:r>
      <w:r>
        <w:rPr>
          <w:rStyle w:val="33"/>
          <w:rFonts w:hint="eastAsia" w:ascii="仿宋" w:hAnsi="仿宋" w:eastAsia="仿宋"/>
          <w:b w:val="0"/>
          <w:bCs w:val="0"/>
        </w:rPr>
        <w:t>般公共预算财政拨款基本支出决算表</w:t>
      </w:r>
      <w:bookmarkEnd w:id="105"/>
      <w:bookmarkEnd w:id="106"/>
      <w:bookmarkEnd w:id="107"/>
    </w:p>
    <w:p w14:paraId="7058D346">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olor w:val="000000"/>
        </w:rPr>
      </w:pPr>
      <w:bookmarkStart w:id="108" w:name="_Toc20819"/>
      <w:bookmarkStart w:id="109" w:name="_Toc1008857766"/>
      <w:bookmarkStart w:id="110" w:name="_Toc15396627"/>
      <w:r>
        <w:rPr>
          <w:rStyle w:val="33"/>
          <w:rFonts w:hint="eastAsia" w:ascii="仿宋" w:hAnsi="仿宋" w:eastAsia="仿宋"/>
          <w:b w:val="0"/>
          <w:bCs w:val="0"/>
        </w:rPr>
        <w:t>九、</w:t>
      </w:r>
      <w:r>
        <w:rPr>
          <w:rFonts w:hint="eastAsia" w:ascii="仿宋" w:hAnsi="仿宋" w:eastAsia="仿宋"/>
          <w:b w:val="0"/>
          <w:color w:val="000000"/>
        </w:rPr>
        <w:t>一</w:t>
      </w:r>
      <w:r>
        <w:rPr>
          <w:rStyle w:val="33"/>
          <w:rFonts w:hint="eastAsia" w:ascii="仿宋" w:hAnsi="仿宋" w:eastAsia="仿宋"/>
          <w:b w:val="0"/>
          <w:bCs w:val="0"/>
        </w:rPr>
        <w:t>般公共预算财政拨款项目支出决算表</w:t>
      </w:r>
      <w:bookmarkEnd w:id="108"/>
      <w:bookmarkEnd w:id="109"/>
      <w:bookmarkEnd w:id="110"/>
    </w:p>
    <w:p w14:paraId="3C4941C0">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olor w:val="000000"/>
        </w:rPr>
      </w:pPr>
      <w:bookmarkStart w:id="111" w:name="_Toc15396628"/>
      <w:bookmarkStart w:id="112" w:name="_Toc20400"/>
      <w:bookmarkStart w:id="113" w:name="_Toc380089796"/>
      <w:r>
        <w:rPr>
          <w:rStyle w:val="33"/>
          <w:rFonts w:hint="eastAsia" w:ascii="仿宋" w:hAnsi="仿宋" w:eastAsia="仿宋"/>
          <w:b w:val="0"/>
          <w:bCs w:val="0"/>
        </w:rPr>
        <w:t>十、</w:t>
      </w:r>
      <w:r>
        <w:rPr>
          <w:rFonts w:hint="eastAsia" w:ascii="仿宋" w:hAnsi="仿宋" w:eastAsia="仿宋"/>
          <w:b w:val="0"/>
          <w:color w:val="000000"/>
        </w:rPr>
        <w:t>一</w:t>
      </w:r>
      <w:r>
        <w:rPr>
          <w:rStyle w:val="33"/>
          <w:rFonts w:hint="eastAsia" w:ascii="仿宋" w:hAnsi="仿宋" w:eastAsia="仿宋"/>
          <w:b w:val="0"/>
          <w:bCs w:val="0"/>
        </w:rPr>
        <w:t>般公共预算财政拨款“三公”经费支出决算表</w:t>
      </w:r>
      <w:bookmarkEnd w:id="111"/>
      <w:bookmarkEnd w:id="112"/>
      <w:bookmarkEnd w:id="113"/>
    </w:p>
    <w:p w14:paraId="07DDA24D">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olor w:val="000000"/>
        </w:rPr>
      </w:pPr>
      <w:bookmarkStart w:id="114" w:name="_Toc7200"/>
      <w:bookmarkStart w:id="115" w:name="_Toc796236234"/>
      <w:bookmarkStart w:id="116" w:name="_Toc15396629"/>
      <w:r>
        <w:rPr>
          <w:rStyle w:val="33"/>
          <w:rFonts w:hint="eastAsia" w:ascii="仿宋" w:hAnsi="仿宋" w:eastAsia="仿宋"/>
          <w:b w:val="0"/>
          <w:bCs w:val="0"/>
        </w:rPr>
        <w:t>十一、</w:t>
      </w:r>
      <w:r>
        <w:rPr>
          <w:rFonts w:hint="eastAsia" w:ascii="仿宋" w:hAnsi="仿宋" w:eastAsia="仿宋"/>
          <w:b w:val="0"/>
          <w:color w:val="000000"/>
        </w:rPr>
        <w:t>政</w:t>
      </w:r>
      <w:r>
        <w:rPr>
          <w:rStyle w:val="33"/>
          <w:rFonts w:hint="eastAsia" w:ascii="仿宋" w:hAnsi="仿宋" w:eastAsia="仿宋"/>
          <w:b w:val="0"/>
          <w:bCs w:val="0"/>
        </w:rPr>
        <w:t>府性基金预算财政拨款收入支出决算表</w:t>
      </w:r>
      <w:bookmarkEnd w:id="114"/>
      <w:bookmarkEnd w:id="115"/>
      <w:bookmarkEnd w:id="116"/>
    </w:p>
    <w:p w14:paraId="6E908B16">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olor w:val="000000"/>
        </w:rPr>
      </w:pPr>
      <w:bookmarkStart w:id="117" w:name="_Toc15396630"/>
      <w:bookmarkStart w:id="118" w:name="_Toc28136"/>
      <w:bookmarkStart w:id="119" w:name="_Toc157478146"/>
      <w:r>
        <w:rPr>
          <w:rStyle w:val="33"/>
          <w:rFonts w:hint="eastAsia" w:ascii="仿宋" w:hAnsi="仿宋" w:eastAsia="仿宋"/>
          <w:b w:val="0"/>
          <w:bCs w:val="0"/>
        </w:rPr>
        <w:t>十二、</w:t>
      </w:r>
      <w:r>
        <w:rPr>
          <w:rFonts w:hint="eastAsia" w:ascii="仿宋" w:hAnsi="仿宋" w:eastAsia="仿宋"/>
          <w:b w:val="0"/>
          <w:color w:val="000000"/>
        </w:rPr>
        <w:t>政</w:t>
      </w:r>
      <w:r>
        <w:rPr>
          <w:rStyle w:val="33"/>
          <w:rFonts w:hint="eastAsia" w:ascii="仿宋" w:hAnsi="仿宋" w:eastAsia="仿宋"/>
          <w:b w:val="0"/>
          <w:bCs w:val="0"/>
        </w:rPr>
        <w:t>府性基金预算财政拨款“三公”经费支出决算表</w:t>
      </w:r>
      <w:bookmarkEnd w:id="117"/>
      <w:bookmarkEnd w:id="118"/>
      <w:bookmarkEnd w:id="119"/>
    </w:p>
    <w:p w14:paraId="428DCE86">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Style w:val="33"/>
          <w:rFonts w:ascii="仿宋" w:hAnsi="仿宋" w:eastAsia="仿宋"/>
          <w:b w:val="0"/>
          <w:bCs w:val="0"/>
        </w:rPr>
      </w:pPr>
      <w:bookmarkStart w:id="120" w:name="_Toc27191"/>
      <w:bookmarkStart w:id="121" w:name="_Toc641895985"/>
      <w:bookmarkStart w:id="122" w:name="_Toc15396631"/>
      <w:r>
        <w:rPr>
          <w:rStyle w:val="33"/>
          <w:rFonts w:hint="eastAsia" w:ascii="仿宋" w:hAnsi="仿宋" w:eastAsia="仿宋"/>
          <w:b w:val="0"/>
          <w:bCs w:val="0"/>
        </w:rPr>
        <w:t>十三、</w:t>
      </w:r>
      <w:r>
        <w:rPr>
          <w:rFonts w:hint="eastAsia" w:ascii="仿宋" w:hAnsi="仿宋" w:eastAsia="仿宋"/>
          <w:b w:val="0"/>
          <w:color w:val="000000"/>
        </w:rPr>
        <w:t>国有资本经营预算财政拨款收入支出决算表</w:t>
      </w:r>
      <w:bookmarkEnd w:id="120"/>
      <w:bookmarkEnd w:id="121"/>
    </w:p>
    <w:p w14:paraId="1C9D2E72">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olor w:val="000000" w:themeColor="text1"/>
          <w14:textFill>
            <w14:solidFill>
              <w14:schemeClr w14:val="tx1"/>
            </w14:solidFill>
          </w14:textFill>
        </w:rPr>
      </w:pPr>
      <w:bookmarkStart w:id="123" w:name="_Toc7049"/>
      <w:bookmarkStart w:id="124" w:name="_Toc157580003"/>
      <w:r>
        <w:rPr>
          <w:rFonts w:hint="eastAsia" w:ascii="仿宋" w:hAnsi="仿宋" w:eastAsia="仿宋"/>
          <w:b w:val="0"/>
          <w:color w:val="000000"/>
        </w:rPr>
        <w:t>十四、国</w:t>
      </w:r>
      <w:r>
        <w:rPr>
          <w:rStyle w:val="33"/>
          <w:rFonts w:hint="eastAsia" w:ascii="仿宋" w:hAnsi="仿宋" w:eastAsia="仿宋"/>
          <w:b w:val="0"/>
          <w:bCs w:val="0"/>
        </w:rPr>
        <w:t>有资本经营预算财政拨款支出决算表</w:t>
      </w:r>
      <w:bookmarkEnd w:id="122"/>
      <w:bookmarkEnd w:id="123"/>
      <w:bookmarkEnd w:id="124"/>
    </w:p>
    <w:sectPr>
      <w:footerReference r:id="rId5" w:type="first"/>
      <w:footerReference r:id="rId4" w:type="default"/>
      <w:pgSz w:w="11906" w:h="16838"/>
      <w:pgMar w:top="2041" w:right="1531" w:bottom="1701" w:left="1531" w:header="851" w:footer="1474" w:gutter="0"/>
      <w:pgNumType w:fmt="decimal"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A9E0B">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78972">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978972">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1E4E76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7790F">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BCC83">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47BCC83">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FCB9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方正小标宋_GBK" w:hAnsi="方正小标宋_GBK" w:eastAsia="方正小标宋_GBK" w:cs="方正小标宋_GBK"/>
        <w:sz w:val="44"/>
        <w:szCs w:val="44"/>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65FE554"/>
    <w:multiLevelType w:val="singleLevel"/>
    <w:tmpl w:val="565FE554"/>
    <w:lvl w:ilvl="0" w:tentative="0">
      <w:start w:val="1"/>
      <w:numFmt w:val="decimal"/>
      <w:suff w:val="nothing"/>
      <w:lvlText w:val="%1．"/>
      <w:lvlJc w:val="left"/>
      <w:pPr>
        <w:ind w:left="0" w:firstLine="400"/>
      </w:pPr>
      <w:rPr>
        <w:rFonts w:hint="default"/>
        <w:sz w:val="33"/>
        <w:szCs w:val="33"/>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NjFlN2EyNTg0MTA0N2Q2MWVmMTk2MzQ4NTg0ZWU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1561CA7"/>
    <w:rsid w:val="03057A39"/>
    <w:rsid w:val="04637469"/>
    <w:rsid w:val="0669648E"/>
    <w:rsid w:val="06B801E1"/>
    <w:rsid w:val="07E31B92"/>
    <w:rsid w:val="093B16A6"/>
    <w:rsid w:val="095F13EB"/>
    <w:rsid w:val="09B3669D"/>
    <w:rsid w:val="0A2032A3"/>
    <w:rsid w:val="0A710787"/>
    <w:rsid w:val="0ACB72E5"/>
    <w:rsid w:val="0B2840D1"/>
    <w:rsid w:val="0B320A51"/>
    <w:rsid w:val="0B586A37"/>
    <w:rsid w:val="0BA63302"/>
    <w:rsid w:val="0BAA1DBC"/>
    <w:rsid w:val="0BD1285F"/>
    <w:rsid w:val="0D9C3EF1"/>
    <w:rsid w:val="0DE21480"/>
    <w:rsid w:val="0FFA3D83"/>
    <w:rsid w:val="10C055FF"/>
    <w:rsid w:val="118107EC"/>
    <w:rsid w:val="12E91FE3"/>
    <w:rsid w:val="1336D0C8"/>
    <w:rsid w:val="15CC1BF4"/>
    <w:rsid w:val="16BB723D"/>
    <w:rsid w:val="176E60FE"/>
    <w:rsid w:val="1793097A"/>
    <w:rsid w:val="18534BA8"/>
    <w:rsid w:val="186DDD34"/>
    <w:rsid w:val="18F67B91"/>
    <w:rsid w:val="19375FF7"/>
    <w:rsid w:val="1AC705E9"/>
    <w:rsid w:val="1C0378F0"/>
    <w:rsid w:val="1D155CEE"/>
    <w:rsid w:val="1D8D1CCD"/>
    <w:rsid w:val="1DC54782"/>
    <w:rsid w:val="1E4569AA"/>
    <w:rsid w:val="1E6CD783"/>
    <w:rsid w:val="1E8B5456"/>
    <w:rsid w:val="1EE12B77"/>
    <w:rsid w:val="1F7668D5"/>
    <w:rsid w:val="1FFF7CDE"/>
    <w:rsid w:val="20304E4A"/>
    <w:rsid w:val="20D2176A"/>
    <w:rsid w:val="21052465"/>
    <w:rsid w:val="214A085A"/>
    <w:rsid w:val="226F7FC3"/>
    <w:rsid w:val="22F91025"/>
    <w:rsid w:val="23E40E69"/>
    <w:rsid w:val="240371BF"/>
    <w:rsid w:val="24270C66"/>
    <w:rsid w:val="25F30BB6"/>
    <w:rsid w:val="26172211"/>
    <w:rsid w:val="26C80178"/>
    <w:rsid w:val="26E9254D"/>
    <w:rsid w:val="27AC7121"/>
    <w:rsid w:val="283006CB"/>
    <w:rsid w:val="29372E1D"/>
    <w:rsid w:val="298B6A07"/>
    <w:rsid w:val="29BD4113"/>
    <w:rsid w:val="29FD04D3"/>
    <w:rsid w:val="2ABC28C6"/>
    <w:rsid w:val="2BDC73E3"/>
    <w:rsid w:val="2CF92D3D"/>
    <w:rsid w:val="2D0F4D53"/>
    <w:rsid w:val="2EB42CCA"/>
    <w:rsid w:val="2F174684"/>
    <w:rsid w:val="2F9A06CF"/>
    <w:rsid w:val="2FCA1F92"/>
    <w:rsid w:val="2FCBF0EB"/>
    <w:rsid w:val="2FFE0873"/>
    <w:rsid w:val="302D3C1D"/>
    <w:rsid w:val="303643A5"/>
    <w:rsid w:val="30B97C74"/>
    <w:rsid w:val="30D06622"/>
    <w:rsid w:val="31981078"/>
    <w:rsid w:val="319F7F4E"/>
    <w:rsid w:val="31C06AA2"/>
    <w:rsid w:val="33F32232"/>
    <w:rsid w:val="34D66C80"/>
    <w:rsid w:val="34E229AC"/>
    <w:rsid w:val="35AE0E2F"/>
    <w:rsid w:val="362C25ED"/>
    <w:rsid w:val="384F1DA4"/>
    <w:rsid w:val="387E5813"/>
    <w:rsid w:val="38DB1620"/>
    <w:rsid w:val="39072D82"/>
    <w:rsid w:val="39B90593"/>
    <w:rsid w:val="39EF70DC"/>
    <w:rsid w:val="3A4417B4"/>
    <w:rsid w:val="3A8B515E"/>
    <w:rsid w:val="3B88345B"/>
    <w:rsid w:val="3BFB5C65"/>
    <w:rsid w:val="3C66733D"/>
    <w:rsid w:val="3D065BAF"/>
    <w:rsid w:val="3DA8607E"/>
    <w:rsid w:val="3E612F34"/>
    <w:rsid w:val="3EAFFF02"/>
    <w:rsid w:val="3EB8112A"/>
    <w:rsid w:val="3EFB5825"/>
    <w:rsid w:val="3FDE4C30"/>
    <w:rsid w:val="3FFA232E"/>
    <w:rsid w:val="3FFFEEA1"/>
    <w:rsid w:val="4194777E"/>
    <w:rsid w:val="421666B2"/>
    <w:rsid w:val="42BB0068"/>
    <w:rsid w:val="42EFCBF7"/>
    <w:rsid w:val="43275358"/>
    <w:rsid w:val="43480118"/>
    <w:rsid w:val="43D403D5"/>
    <w:rsid w:val="44774276"/>
    <w:rsid w:val="44824EB1"/>
    <w:rsid w:val="451E1B7F"/>
    <w:rsid w:val="4574072F"/>
    <w:rsid w:val="477F74B9"/>
    <w:rsid w:val="47B01E42"/>
    <w:rsid w:val="482A15FB"/>
    <w:rsid w:val="49A30776"/>
    <w:rsid w:val="49B77726"/>
    <w:rsid w:val="4A61284F"/>
    <w:rsid w:val="4AD420A8"/>
    <w:rsid w:val="4B7C692B"/>
    <w:rsid w:val="4BD5E560"/>
    <w:rsid w:val="4C0A1568"/>
    <w:rsid w:val="4D4D7800"/>
    <w:rsid w:val="4DB841F3"/>
    <w:rsid w:val="4ECE2238"/>
    <w:rsid w:val="4FFEE152"/>
    <w:rsid w:val="50667B86"/>
    <w:rsid w:val="51937451"/>
    <w:rsid w:val="51A1216A"/>
    <w:rsid w:val="525C3CE7"/>
    <w:rsid w:val="535B6A63"/>
    <w:rsid w:val="53C24577"/>
    <w:rsid w:val="53FB00BE"/>
    <w:rsid w:val="54044F9C"/>
    <w:rsid w:val="547F34D6"/>
    <w:rsid w:val="55C04EA2"/>
    <w:rsid w:val="55C6638D"/>
    <w:rsid w:val="56C86DE4"/>
    <w:rsid w:val="584B2834"/>
    <w:rsid w:val="589E5FC8"/>
    <w:rsid w:val="597C7D79"/>
    <w:rsid w:val="59FB313F"/>
    <w:rsid w:val="5A2A64AA"/>
    <w:rsid w:val="5B3D13E6"/>
    <w:rsid w:val="5BFD0E7B"/>
    <w:rsid w:val="5C272D5A"/>
    <w:rsid w:val="5D221689"/>
    <w:rsid w:val="5D3F4D73"/>
    <w:rsid w:val="5DB944DA"/>
    <w:rsid w:val="5DCFBA07"/>
    <w:rsid w:val="5E6A153A"/>
    <w:rsid w:val="5EB6726C"/>
    <w:rsid w:val="5F5E6308"/>
    <w:rsid w:val="5F745D64"/>
    <w:rsid w:val="5F7562CE"/>
    <w:rsid w:val="5FB640C8"/>
    <w:rsid w:val="5FEFD4A2"/>
    <w:rsid w:val="6013241A"/>
    <w:rsid w:val="62FD4166"/>
    <w:rsid w:val="631122C9"/>
    <w:rsid w:val="63957059"/>
    <w:rsid w:val="64C20741"/>
    <w:rsid w:val="64F627C5"/>
    <w:rsid w:val="667C4500"/>
    <w:rsid w:val="67704F2B"/>
    <w:rsid w:val="67BF55FA"/>
    <w:rsid w:val="6B277185"/>
    <w:rsid w:val="6B7FDAB4"/>
    <w:rsid w:val="6B9D6AAA"/>
    <w:rsid w:val="6C3C1DA0"/>
    <w:rsid w:val="6C4A05C8"/>
    <w:rsid w:val="6C657517"/>
    <w:rsid w:val="6CA67251"/>
    <w:rsid w:val="6CD10C2C"/>
    <w:rsid w:val="6CEE2D6F"/>
    <w:rsid w:val="6D4D6A44"/>
    <w:rsid w:val="6D744805"/>
    <w:rsid w:val="6DFBC047"/>
    <w:rsid w:val="6E0E7AF5"/>
    <w:rsid w:val="6ED36BA4"/>
    <w:rsid w:val="6F072F89"/>
    <w:rsid w:val="6F802AB2"/>
    <w:rsid w:val="70735633"/>
    <w:rsid w:val="70C075D3"/>
    <w:rsid w:val="71BC1C54"/>
    <w:rsid w:val="72734D90"/>
    <w:rsid w:val="72C54B39"/>
    <w:rsid w:val="73235862"/>
    <w:rsid w:val="741B7B13"/>
    <w:rsid w:val="748221EC"/>
    <w:rsid w:val="748D7C5D"/>
    <w:rsid w:val="74ED2D04"/>
    <w:rsid w:val="750556C0"/>
    <w:rsid w:val="75577C8C"/>
    <w:rsid w:val="75585ABA"/>
    <w:rsid w:val="759B6318"/>
    <w:rsid w:val="75D558AA"/>
    <w:rsid w:val="75FF8D3A"/>
    <w:rsid w:val="761F103B"/>
    <w:rsid w:val="76524935"/>
    <w:rsid w:val="76950A1B"/>
    <w:rsid w:val="76FFD772"/>
    <w:rsid w:val="773DFB56"/>
    <w:rsid w:val="77B2F038"/>
    <w:rsid w:val="77D46C5F"/>
    <w:rsid w:val="77EB2B42"/>
    <w:rsid w:val="7908556B"/>
    <w:rsid w:val="792F44BB"/>
    <w:rsid w:val="7AA71258"/>
    <w:rsid w:val="7B92F56E"/>
    <w:rsid w:val="7BDF3712"/>
    <w:rsid w:val="7BF99725"/>
    <w:rsid w:val="7C9453FC"/>
    <w:rsid w:val="7CC65162"/>
    <w:rsid w:val="7CC75788"/>
    <w:rsid w:val="7CDC7CD3"/>
    <w:rsid w:val="7CE38255"/>
    <w:rsid w:val="7CFCB881"/>
    <w:rsid w:val="7DBF8FAE"/>
    <w:rsid w:val="7DD38A6A"/>
    <w:rsid w:val="7DF14762"/>
    <w:rsid w:val="7DFA69BE"/>
    <w:rsid w:val="7DFBF32D"/>
    <w:rsid w:val="7EBFDDF9"/>
    <w:rsid w:val="7ED17B69"/>
    <w:rsid w:val="7EFEA666"/>
    <w:rsid w:val="7F3368EE"/>
    <w:rsid w:val="7FAE0A49"/>
    <w:rsid w:val="7FAF5630"/>
    <w:rsid w:val="7FEF052E"/>
    <w:rsid w:val="7FFE309A"/>
    <w:rsid w:val="7FFFC8D2"/>
    <w:rsid w:val="8FF2C8CA"/>
    <w:rsid w:val="9BEB3536"/>
    <w:rsid w:val="AFD59857"/>
    <w:rsid w:val="B7F7F6C3"/>
    <w:rsid w:val="BB40FC19"/>
    <w:rsid w:val="BDBC1C38"/>
    <w:rsid w:val="BE7A5935"/>
    <w:rsid w:val="BED32CB1"/>
    <w:rsid w:val="BEF7DBD4"/>
    <w:rsid w:val="BFFDBF94"/>
    <w:rsid w:val="BFFF1055"/>
    <w:rsid w:val="CEFDB737"/>
    <w:rsid w:val="CF7838D7"/>
    <w:rsid w:val="CF7E39A5"/>
    <w:rsid w:val="D4DFF396"/>
    <w:rsid w:val="D97D986C"/>
    <w:rsid w:val="DBFFCCAE"/>
    <w:rsid w:val="DEFDC59F"/>
    <w:rsid w:val="DF7F3967"/>
    <w:rsid w:val="DFDDC510"/>
    <w:rsid w:val="DFFCC941"/>
    <w:rsid w:val="E5EE0883"/>
    <w:rsid w:val="E5FF1C93"/>
    <w:rsid w:val="E6FBBA7C"/>
    <w:rsid w:val="EA6FDE89"/>
    <w:rsid w:val="EDB7A770"/>
    <w:rsid w:val="EE7FB3A9"/>
    <w:rsid w:val="EF7FBB25"/>
    <w:rsid w:val="EFA746CE"/>
    <w:rsid w:val="EFEFBDF0"/>
    <w:rsid w:val="EFFD39D0"/>
    <w:rsid w:val="EFFEAE7C"/>
    <w:rsid w:val="EFFFAB14"/>
    <w:rsid w:val="F1BF0870"/>
    <w:rsid w:val="F5FFB720"/>
    <w:rsid w:val="F778B667"/>
    <w:rsid w:val="F81DE81B"/>
    <w:rsid w:val="F9F87BBE"/>
    <w:rsid w:val="FB9EBAD8"/>
    <w:rsid w:val="FBF5E125"/>
    <w:rsid w:val="FBF74673"/>
    <w:rsid w:val="FD7225D5"/>
    <w:rsid w:val="FD7F6496"/>
    <w:rsid w:val="FDFB0594"/>
    <w:rsid w:val="FEEF2F6E"/>
    <w:rsid w:val="FEF74AB2"/>
    <w:rsid w:val="FEFABC0C"/>
    <w:rsid w:val="FFCF8AE6"/>
    <w:rsid w:val="FFD5E8EA"/>
    <w:rsid w:val="FFF6B76B"/>
    <w:rsid w:val="FFFCEC7E"/>
    <w:rsid w:val="FFFE2BE6"/>
    <w:rsid w:val="FFFF3B60"/>
    <w:rsid w:val="FFFF92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8">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Date"/>
    <w:basedOn w:val="1"/>
    <w:next w:val="1"/>
    <w:qFormat/>
    <w:uiPriority w:val="0"/>
    <w:pPr>
      <w:ind w:left="2500" w:leftChars="2500"/>
    </w:pPr>
  </w:style>
  <w:style w:type="paragraph" w:styleId="12">
    <w:name w:val="Balloon Text"/>
    <w:basedOn w:val="1"/>
    <w:link w:val="35"/>
    <w:unhideWhenUsed/>
    <w:qFormat/>
    <w:uiPriority w:val="99"/>
    <w:rPr>
      <w:sz w:val="18"/>
      <w:szCs w:val="18"/>
    </w:rPr>
  </w:style>
  <w:style w:type="paragraph" w:styleId="13">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basedOn w:val="1"/>
    <w:next w:val="22"/>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2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3">
    <w:name w:val="正文2"/>
    <w:basedOn w:val="1"/>
    <w:next w:val="1"/>
    <w:qFormat/>
    <w:uiPriority w:val="99"/>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4"/>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3"/>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9"/>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1">
    <w:name w:val="列出段落1"/>
    <w:basedOn w:val="1"/>
    <w:qFormat/>
    <w:uiPriority w:val="34"/>
    <w:pPr>
      <w:ind w:firstLine="420" w:firstLineChars="200"/>
    </w:pPr>
  </w:style>
  <w:style w:type="character" w:customStyle="1" w:styleId="32">
    <w:name w:val="标题 1 Char"/>
    <w:basedOn w:val="18"/>
    <w:link w:val="5"/>
    <w:qFormat/>
    <w:uiPriority w:val="9"/>
    <w:rPr>
      <w:rFonts w:ascii="Times New Roman" w:hAnsi="Times New Roman"/>
      <w:b/>
      <w:bCs/>
      <w:kern w:val="44"/>
      <w:sz w:val="44"/>
      <w:szCs w:val="44"/>
    </w:rPr>
  </w:style>
  <w:style w:type="character" w:customStyle="1" w:styleId="33">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8"/>
    <w:link w:val="12"/>
    <w:semiHidden/>
    <w:qFormat/>
    <w:uiPriority w:val="99"/>
    <w:rPr>
      <w:rFonts w:ascii="Times New Roman" w:hAnsi="Times New Roman"/>
      <w:kern w:val="2"/>
      <w:sz w:val="18"/>
      <w:szCs w:val="18"/>
    </w:rPr>
  </w:style>
  <w:style w:type="character" w:customStyle="1" w:styleId="36">
    <w:name w:val="标题 3 Char"/>
    <w:basedOn w:val="18"/>
    <w:link w:val="7"/>
    <w:qFormat/>
    <w:uiPriority w:val="9"/>
    <w:rPr>
      <w:rFonts w:ascii="Times New Roman" w:hAnsi="Times New Roman"/>
      <w:b/>
      <w:bCs/>
      <w:kern w:val="2"/>
      <w:sz w:val="32"/>
      <w:szCs w:val="32"/>
    </w:rPr>
  </w:style>
  <w:style w:type="paragraph" w:customStyle="1" w:styleId="37">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WPSOffice手动目录 1"/>
    <w:qFormat/>
    <w:uiPriority w:val="0"/>
    <w:pPr>
      <w:ind w:leftChars="0"/>
    </w:pPr>
    <w:rPr>
      <w:rFonts w:ascii="Calibri" w:hAnsi="Calibri" w:eastAsia="宋体" w:cs="Times New Roman"/>
      <w:sz w:val="20"/>
      <w:szCs w:val="20"/>
    </w:rPr>
  </w:style>
  <w:style w:type="paragraph" w:customStyle="1" w:styleId="39">
    <w:name w:val="WPSOffice手动目录 2"/>
    <w:qFormat/>
    <w:uiPriority w:val="0"/>
    <w:pPr>
      <w:ind w:leftChars="200"/>
    </w:pPr>
    <w:rPr>
      <w:rFonts w:ascii="Calibri" w:hAnsi="Calibri" w:eastAsia="宋体" w:cs="Times New Roman"/>
      <w:sz w:val="20"/>
      <w:szCs w:val="20"/>
    </w:rPr>
  </w:style>
  <w:style w:type="paragraph" w:customStyle="1" w:styleId="40">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1\Desktop\20250919&#8212;2024&#24180;&#20915;&#31639;&#20844;&#24320;\&#19981;&#21160;&#20135;&#30331;&#35760;&#20013;&#24515;&#8212;2024&#24180;&#20915;&#31639;&#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1\Desktop\20250919&#8212;2024&#24180;&#20915;&#31639;&#20844;&#24320;\&#19981;&#21160;&#20135;&#30331;&#35760;&#20013;&#24515;&#8212;2024&#24180;&#20915;&#31639;&#22270;&#3492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1\Desktop\20250919&#8212;2024&#24180;&#20915;&#31639;&#20844;&#24320;\&#19981;&#21160;&#20135;&#30331;&#35760;&#20013;&#24515;&#8212;2024&#24180;&#20915;&#31639;&#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Desktop\20250919&#8212;2024&#24180;&#20915;&#31639;&#20844;&#24320;\&#19981;&#21160;&#20135;&#30331;&#35760;&#20013;&#24515;&#8212;2024&#24180;&#20915;&#31639;&#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Desktop\20250919&#8212;2024&#24180;&#20915;&#31639;&#20844;&#24320;\&#19981;&#21160;&#20135;&#30331;&#35760;&#20013;&#24515;&#8212;2024&#24180;&#20915;&#31639;&#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Desktop\20250919&#8212;2024&#24180;&#20915;&#31639;&#20844;&#24320;\&#19981;&#21160;&#20135;&#30331;&#35760;&#20013;&#24515;&#8212;2024&#24180;&#20915;&#31639;&#22270;&#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Desktop\20250919&#8212;2024&#24180;&#20915;&#31639;&#20844;&#24320;\&#19981;&#21160;&#20135;&#30331;&#35760;&#20013;&#24515;&#8212;2024&#24180;&#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484392738105"/>
          <c:y val="0.169268671298986"/>
          <c:w val="0.708832458442695"/>
          <c:h val="0.725890723771924"/>
        </c:manualLayout>
      </c:layout>
      <c:barChart>
        <c:barDir val="col"/>
        <c:grouping val="clustered"/>
        <c:varyColors val="0"/>
        <c:ser>
          <c:idx val="1"/>
          <c:order val="0"/>
          <c:tx>
            <c:strRef>
              <c:f>[不动产登记中心—2024年决算图表.xlsx]收、支决算总计变动情况图!$A$3</c:f>
              <c:strCache>
                <c:ptCount val="1"/>
                <c:pt idx="0">
                  <c:v>2023年</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50000"/>
                          <a:lumOff val="50000"/>
                        </a:schemeClr>
                      </a:solidFill>
                      <a:prstDash val="solid"/>
                      <a:round/>
                    </a:ln>
                    <a:effectLst/>
                  </c:spPr>
                </c15:leaderLines>
              </c:ext>
            </c:extLst>
          </c:dLbls>
          <c:cat>
            <c:strRef>
              <c:f>[不动产登记中心—2024年决算图表.xlsx]收、支决算总计变动情况图!$B$1:$C$1</c:f>
              <c:strCache>
                <c:ptCount val="2"/>
                <c:pt idx="0">
                  <c:v>收入</c:v>
                </c:pt>
                <c:pt idx="1">
                  <c:v>支出</c:v>
                </c:pt>
              </c:strCache>
            </c:strRef>
          </c:cat>
          <c:val>
            <c:numRef>
              <c:f>[不动产登记中心—2024年决算图表.xlsx]收、支决算总计变动情况图!$B$3:$C$3</c:f>
              <c:numCache>
                <c:formatCode>General</c:formatCode>
                <c:ptCount val="2"/>
                <c:pt idx="0">
                  <c:v>1235.99</c:v>
                </c:pt>
                <c:pt idx="1">
                  <c:v>1235.99</c:v>
                </c:pt>
              </c:numCache>
            </c:numRef>
          </c:val>
        </c:ser>
        <c:ser>
          <c:idx val="0"/>
          <c:order val="1"/>
          <c:tx>
            <c:strRef>
              <c:f>[不动产登记中心—2024年决算图表.xlsx]收、支决算总计变动情况图!$A$2</c:f>
              <c:strCache>
                <c:ptCount val="1"/>
                <c:pt idx="0">
                  <c:v>2024年</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50000"/>
                          <a:lumOff val="50000"/>
                        </a:schemeClr>
                      </a:solidFill>
                      <a:prstDash val="solid"/>
                      <a:round/>
                    </a:ln>
                    <a:effectLst/>
                  </c:spPr>
                </c15:leaderLines>
              </c:ext>
            </c:extLst>
          </c:dLbls>
          <c:cat>
            <c:strRef>
              <c:f>[不动产登记中心—2024年决算图表.xlsx]收、支决算总计变动情况图!$B$1:$C$1</c:f>
              <c:strCache>
                <c:ptCount val="2"/>
                <c:pt idx="0">
                  <c:v>收入</c:v>
                </c:pt>
                <c:pt idx="1">
                  <c:v>支出</c:v>
                </c:pt>
              </c:strCache>
            </c:strRef>
          </c:cat>
          <c:val>
            <c:numRef>
              <c:f>[不动产登记中心—2024年决算图表.xlsx]收、支决算总计变动情况图!$B$2:$C$2</c:f>
              <c:numCache>
                <c:formatCode>General</c:formatCode>
                <c:ptCount val="2"/>
                <c:pt idx="0">
                  <c:v>1305.9</c:v>
                </c:pt>
                <c:pt idx="1">
                  <c:v>1305.9</c:v>
                </c:pt>
              </c:numCache>
            </c:numRef>
          </c:val>
        </c:ser>
        <c:dLbls>
          <c:showLegendKey val="0"/>
          <c:showVal val="1"/>
          <c:showCatName val="0"/>
          <c:showSerName val="0"/>
          <c:showPercent val="0"/>
          <c:showBubbleSize val="0"/>
        </c:dLbls>
        <c:gapWidth val="65"/>
        <c:axId val="48782336"/>
        <c:axId val="48788224"/>
      </c:barChart>
      <c:catAx>
        <c:axId val="48782336"/>
        <c:scaling>
          <c:orientation val="minMax"/>
        </c:scaling>
        <c:delete val="0"/>
        <c:axPos val="b"/>
        <c:majorTickMark val="out"/>
        <c:minorTickMark val="none"/>
        <c:tickLblPos val="nextTo"/>
        <c:spPr>
          <a:noFill/>
          <a:ln w="19050" cap="flat" cmpd="sng" algn="ctr">
            <a:solidFill>
              <a:schemeClr val="dk1">
                <a:lumMod val="75000"/>
                <a:lumOff val="25000"/>
              </a:schemeClr>
            </a:solidFill>
            <a:prstDash val="solid"/>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8788224"/>
        <c:crosses val="autoZero"/>
        <c:auto val="1"/>
        <c:lblAlgn val="ctr"/>
        <c:lblOffset val="100"/>
        <c:noMultiLvlLbl val="0"/>
      </c:catAx>
      <c:valAx>
        <c:axId val="48788224"/>
        <c:scaling>
          <c:orientation val="minMax"/>
          <c:min val="0"/>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olid"/>
              <a:round/>
            </a:ln>
            <a:effectLst/>
          </c:spPr>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8782336"/>
        <c:crosses val="autoZero"/>
        <c:crossBetween val="between"/>
      </c:valAx>
      <c:spPr>
        <a:noFill/>
        <a:ln>
          <a:noFill/>
        </a:ln>
        <a:effectLst/>
      </c:spPr>
    </c:plotArea>
    <c:legend>
      <c:legendPos val="b"/>
      <c:layout>
        <c:manualLayout>
          <c:xMode val="edge"/>
          <c:yMode val="edge"/>
          <c:x val="0.740657361548852"/>
          <c:y val="0.0465228979888539"/>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3f174bed-c1ea-4538-94c6-ff6640ab3a85}"/>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4"/>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Lbls>
            <c:delete val="1"/>
          </c:dLbls>
          <c:cat>
            <c:strRef>
              <c:f>[不动产登记中心—2024年决算图表.xlsx]收入决算结构图!$B$2</c:f>
              <c:strCache>
                <c:ptCount val="1"/>
                <c:pt idx="0">
                  <c:v>一般公共预算财政拨款收入</c:v>
                </c:pt>
              </c:strCache>
            </c:strRef>
          </c:cat>
          <c:val>
            <c:numRef>
              <c:f>[不动产登记中心—2024年决算图表.xlsx]收入决算结构图!$C$2</c:f>
              <c:numCache>
                <c:formatCode>General</c:formatCode>
                <c:ptCount val="1"/>
                <c:pt idx="0">
                  <c:v>1305.9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da14d2dc-462f-43e0-8b88-56cc2f93c80d}"/>
      </c:ext>
    </c:extLst>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[不动产登记中心—2024年决算图表.xlsx]支出决算结构图!$C$2</c:f>
              <c:strCache>
                <c:ptCount val="1"/>
                <c:pt idx="0">
                  <c:v>收入金额</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multiLvlStrRef>
              <c:f>[不动产登记中心—2024年决算图表.xlsx]支出决算结构图!$B$3:$C$4</c:f>
              <c:multiLvlStrCache>
                <c:ptCount val="2"/>
                <c:lvl>
                  <c:pt idx="0">
                    <c:v>1142.29</c:v>
                  </c:pt>
                  <c:pt idx="1">
                    <c:v>163.61</c:v>
                  </c:pt>
                </c:lvl>
                <c:lvl>
                  <c:pt idx="0">
                    <c:v>基本支出</c:v>
                  </c:pt>
                  <c:pt idx="1">
                    <c:v>项目支出</c:v>
                  </c:pt>
                </c:lvl>
              </c:multiLvlStrCache>
            </c:multiLvlStrRef>
          </c:cat>
          <c:val>
            <c:numRef>
              <c:f>[不动产登记中心—2024年决算图表.xlsx]支出决算结构图!$C$3:$C$4</c:f>
              <c:numCache>
                <c:formatCode>General</c:formatCode>
                <c:ptCount val="2"/>
                <c:pt idx="0">
                  <c:v>1142.29</c:v>
                </c:pt>
                <c:pt idx="1">
                  <c:v>163.61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42642642642643"/>
          <c:y val="0.327898013637711"/>
          <c:w val="0.333333333333333"/>
          <c:h val="0.37592647494811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340910b-30ff-42ec-8764-57df7fa60848}"/>
      </c:ext>
    </c:extLst>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484392738105"/>
          <c:y val="0.169268671298986"/>
          <c:w val="0.708832458442695"/>
          <c:h val="0.725890723771924"/>
        </c:manualLayout>
      </c:layout>
      <c:barChart>
        <c:barDir val="col"/>
        <c:grouping val="clustered"/>
        <c:varyColors val="0"/>
        <c:ser>
          <c:idx val="1"/>
          <c:order val="0"/>
          <c:tx>
            <c:strRef>
              <c:f>[不动产登记中心—2024年决算图表.xlsx]财政拨款收、支决算总计变动情况!$A$3</c:f>
              <c:strCache>
                <c:ptCount val="1"/>
                <c:pt idx="0">
                  <c:v>2023年</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50000"/>
                          <a:lumOff val="50000"/>
                        </a:schemeClr>
                      </a:solidFill>
                      <a:prstDash val="solid"/>
                      <a:round/>
                    </a:ln>
                    <a:effectLst/>
                  </c:spPr>
                </c15:leaderLines>
              </c:ext>
            </c:extLst>
          </c:dLbls>
          <c:cat>
            <c:strRef>
              <c:f>[不动产登记中心—2024年决算图表.xlsx]财政拨款收、支决算总计变动情况!$B$1:$C$1</c:f>
              <c:strCache>
                <c:ptCount val="2"/>
                <c:pt idx="0">
                  <c:v>财政拨款收入</c:v>
                </c:pt>
                <c:pt idx="1">
                  <c:v>财政拨款支出</c:v>
                </c:pt>
              </c:strCache>
            </c:strRef>
          </c:cat>
          <c:val>
            <c:numRef>
              <c:f>[不动产登记中心—2024年决算图表.xlsx]财政拨款收、支决算总计变动情况!$B$3:$C$3</c:f>
              <c:numCache>
                <c:formatCode>General</c:formatCode>
                <c:ptCount val="2"/>
                <c:pt idx="0">
                  <c:v>1235.99</c:v>
                </c:pt>
                <c:pt idx="1">
                  <c:v>1235.99</c:v>
                </c:pt>
              </c:numCache>
            </c:numRef>
          </c:val>
        </c:ser>
        <c:ser>
          <c:idx val="0"/>
          <c:order val="1"/>
          <c:tx>
            <c:strRef>
              <c:f>[不动产登记中心—2024年决算图表.xlsx]财政拨款收、支决算总计变动情况!$A$2</c:f>
              <c:strCache>
                <c:ptCount val="1"/>
                <c:pt idx="0">
                  <c:v>2024年</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50000"/>
                          <a:lumOff val="50000"/>
                        </a:schemeClr>
                      </a:solidFill>
                      <a:prstDash val="solid"/>
                      <a:round/>
                    </a:ln>
                    <a:effectLst/>
                  </c:spPr>
                </c15:leaderLines>
              </c:ext>
            </c:extLst>
          </c:dLbls>
          <c:cat>
            <c:strRef>
              <c:f>[不动产登记中心—2024年决算图表.xlsx]财政拨款收、支决算总计变动情况!$B$1:$C$1</c:f>
              <c:strCache>
                <c:ptCount val="2"/>
                <c:pt idx="0">
                  <c:v>财政拨款收入</c:v>
                </c:pt>
                <c:pt idx="1">
                  <c:v>财政拨款支出</c:v>
                </c:pt>
              </c:strCache>
            </c:strRef>
          </c:cat>
          <c:val>
            <c:numRef>
              <c:f>[不动产登记中心—2024年决算图表.xlsx]财政拨款收、支决算总计变动情况!$B$2:$C$2</c:f>
              <c:numCache>
                <c:formatCode>General</c:formatCode>
                <c:ptCount val="2"/>
                <c:pt idx="0">
                  <c:v>1305.9</c:v>
                </c:pt>
                <c:pt idx="1">
                  <c:v>1305.9</c:v>
                </c:pt>
              </c:numCache>
            </c:numRef>
          </c:val>
        </c:ser>
        <c:dLbls>
          <c:showLegendKey val="0"/>
          <c:showVal val="1"/>
          <c:showCatName val="0"/>
          <c:showSerName val="0"/>
          <c:showPercent val="0"/>
          <c:showBubbleSize val="0"/>
        </c:dLbls>
        <c:gapWidth val="65"/>
        <c:axId val="48782336"/>
        <c:axId val="48788224"/>
      </c:barChart>
      <c:catAx>
        <c:axId val="48782336"/>
        <c:scaling>
          <c:orientation val="minMax"/>
        </c:scaling>
        <c:delete val="0"/>
        <c:axPos val="b"/>
        <c:majorTickMark val="out"/>
        <c:minorTickMark val="none"/>
        <c:tickLblPos val="nextTo"/>
        <c:spPr>
          <a:noFill/>
          <a:ln w="19050" cap="flat" cmpd="sng" algn="ctr">
            <a:solidFill>
              <a:schemeClr val="dk1">
                <a:lumMod val="75000"/>
                <a:lumOff val="25000"/>
              </a:schemeClr>
            </a:solidFill>
            <a:prstDash val="solid"/>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8788224"/>
        <c:crosses val="autoZero"/>
        <c:auto val="1"/>
        <c:lblAlgn val="ctr"/>
        <c:lblOffset val="100"/>
        <c:noMultiLvlLbl val="0"/>
      </c:catAx>
      <c:valAx>
        <c:axId val="48788224"/>
        <c:scaling>
          <c:orientation val="minMax"/>
          <c:min val="0"/>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olid"/>
              <a:round/>
            </a:ln>
            <a:effectLst/>
          </c:spPr>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8782336"/>
        <c:crosses val="autoZero"/>
        <c:crossBetween val="between"/>
      </c:valAx>
      <c:spPr>
        <a:noFill/>
        <a:ln>
          <a:noFill/>
        </a:ln>
        <a:effectLst/>
      </c:spPr>
    </c:plotArea>
    <c:legend>
      <c:legendPos val="b"/>
      <c:layout>
        <c:manualLayout>
          <c:xMode val="edge"/>
          <c:yMode val="edge"/>
          <c:x val="0.572585978835979"/>
          <c:y val="0.0380984490896831"/>
          <c:w val="0.292493386243386"/>
          <c:h val="0.128455832771409"/>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29e211e1-59fc-476b-9c63-7c731a0d6a11}"/>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[不动产登记中心—2024年决算图表.xlsx]一般公共预算财政拨款支出决算变动情况!$C$2:$C$3</c:f>
              <c:strCache>
                <c:ptCount val="2"/>
                <c:pt idx="0">
                  <c:v>2024年</c:v>
                </c:pt>
                <c:pt idx="1">
                  <c:v>2023年</c:v>
                </c:pt>
              </c:strCache>
            </c:strRef>
          </c:cat>
          <c:val>
            <c:numRef>
              <c:f>[不动产登记中心—2024年决算图表.xlsx]一般公共预算财政拨款支出决算变动情况!$D$2:$D$3</c:f>
              <c:numCache>
                <c:formatCode>General</c:formatCode>
                <c:ptCount val="2"/>
                <c:pt idx="0">
                  <c:v>1305.9</c:v>
                </c:pt>
                <c:pt idx="1">
                  <c:v>1235.99</c:v>
                </c:pt>
              </c:numCache>
            </c:numRef>
          </c:val>
        </c:ser>
        <c:dLbls>
          <c:showLegendKey val="0"/>
          <c:showVal val="1"/>
          <c:showCatName val="0"/>
          <c:showSerName val="0"/>
          <c:showPercent val="0"/>
          <c:showBubbleSize val="0"/>
        </c:dLbls>
        <c:gapWidth val="150"/>
        <c:axId val="88147456"/>
        <c:axId val="88148992"/>
      </c:barChart>
      <c:catAx>
        <c:axId val="881474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8148992"/>
        <c:crosses val="autoZero"/>
        <c:auto val="1"/>
        <c:lblAlgn val="ctr"/>
        <c:lblOffset val="100"/>
        <c:noMultiLvlLbl val="0"/>
      </c:catAx>
      <c:valAx>
        <c:axId val="88148992"/>
        <c:scaling>
          <c:orientation val="minMax"/>
          <c:min val="0"/>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8147456"/>
        <c:crosses val="autoZero"/>
        <c:crossBetween val="between"/>
      </c:valAx>
    </c:plotArea>
    <c:plotVisOnly val="1"/>
    <c:dispBlanksAs val="gap"/>
    <c:showDLblsOverMax val="0"/>
    <c:extLst>
      <c:ext uri="{0b15fc19-7d7d-44ad-8c2d-2c3a37ce22c3}">
        <chartProps xmlns="https://web.wps.cn/et/2018/main" chartId="{ed75a441-106e-44d7-803b-584467276ee2}"/>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Lbls>
            <c:delete val="1"/>
          </c:dLbls>
          <c:cat>
            <c:strRef>
              <c:f>[不动产登记中心—2024年决算图表.xlsx]一般公共预算财政拨款支出决算结构!$A$2:$A$5</c:f>
              <c:strCache>
                <c:ptCount val="4"/>
                <c:pt idx="0">
                  <c:v>社会保障和就业支出</c:v>
                </c:pt>
                <c:pt idx="1">
                  <c:v>卫生健康支出</c:v>
                </c:pt>
                <c:pt idx="2">
                  <c:v>自然资源海洋气象等支出</c:v>
                </c:pt>
                <c:pt idx="3">
                  <c:v>粮油物资储备支出</c:v>
                </c:pt>
              </c:strCache>
            </c:strRef>
          </c:cat>
          <c:val>
            <c:numRef>
              <c:f>[不动产登记中心—2024年决算图表.xlsx]一般公共预算财政拨款支出决算结构!$B$2:$B$5</c:f>
              <c:numCache>
                <c:formatCode>#,##0.00</c:formatCode>
                <c:ptCount val="4"/>
                <c:pt idx="0">
                  <c:v>85.4</c:v>
                </c:pt>
                <c:pt idx="1">
                  <c:v>33.47</c:v>
                </c:pt>
                <c:pt idx="2">
                  <c:v>1183.85</c:v>
                </c:pt>
                <c:pt idx="3">
                  <c:v>3.19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5bbf278-a560-4569-8762-7696d4d33a53}"/>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elete val="1"/>
          </c:dLbls>
          <c:cat>
            <c:strRef>
              <c:f>[不动产登记中心—2024年决算图表.xlsx]“三公”经费财政拨款支出结构!$A$2:$A$4</c:f>
              <c:strCache>
                <c:ptCount val="3"/>
                <c:pt idx="0">
                  <c:v>公务用车购置及运行维护费</c:v>
                </c:pt>
                <c:pt idx="1">
                  <c:v>公务接待费</c:v>
                </c:pt>
                <c:pt idx="2">
                  <c:v>因公出国（境）费</c:v>
                </c:pt>
              </c:strCache>
            </c:strRef>
          </c:cat>
          <c:val>
            <c:numRef>
              <c:f>[不动产登记中心—2024年决算图表.xlsx]“三公”经费财政拨款支出结构!$B$2:$B$4</c:f>
              <c:numCache>
                <c:formatCode>General</c:formatCode>
                <c:ptCount val="3"/>
                <c:pt idx="0">
                  <c:v>8.58</c:v>
                </c:pt>
                <c:pt idx="1">
                  <c:v>0.53</c:v>
                </c:pt>
                <c:pt idx="2">
                  <c:v>0</c:v>
                </c:pt>
              </c:numCache>
            </c:numRef>
          </c:val>
        </c:ser>
        <c:dLbls>
          <c:showLegendKey val="0"/>
          <c:showVal val="0"/>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1ced1d2-b000-4707-be75-979e1940fd9e}"/>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0.8218</cdr:x>
      <cdr:y>0.04336</cdr:y>
    </cdr:from>
    <cdr:to>
      <cdr:x>1</cdr:x>
      <cdr:y>0.12195</cdr:y>
    </cdr:to>
    <cdr:sp>
      <cdr:nvSpPr>
        <cdr:cNvPr id="2" name="矩形 1"/>
        <cdr:cNvSpPr/>
      </cdr:nvSpPr>
      <cdr:spPr xmlns:a="http://schemas.openxmlformats.org/drawingml/2006/main">
        <a:xfrm xmlns:a="http://schemas.openxmlformats.org/drawingml/2006/main">
          <a:off x="4562474" y="152401"/>
          <a:ext cx="981076" cy="2762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0.804166666666667</cdr:x>
      <cdr:y>0.0798611111111111</cdr:y>
    </cdr:from>
    <cdr:to>
      <cdr:x>0.933333333333333</cdr:x>
      <cdr:y>0.291666666666667</cdr:y>
    </cdr:to>
    <cdr:sp>
      <cdr:nvSpPr>
        <cdr:cNvPr id="2" name="矩形 1"/>
        <cdr:cNvSpPr/>
      </cdr:nvSpPr>
      <cdr:spPr xmlns:a="http://schemas.openxmlformats.org/drawingml/2006/main">
        <a:xfrm xmlns:a="http://schemas.openxmlformats.org/drawingml/2006/main">
          <a:off x="3676650" y="219075"/>
          <a:ext cx="590550" cy="58102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4254</Words>
  <Characters>4675</Characters>
  <Lines>61</Lines>
  <Paragraphs>17</Paragraphs>
  <TotalTime>4</TotalTime>
  <ScaleCrop>false</ScaleCrop>
  <LinksUpToDate>false</LinksUpToDate>
  <CharactersWithSpaces>4826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有个弊病</cp:lastModifiedBy>
  <cp:lastPrinted>2024-08-23T09:17:00Z</cp:lastPrinted>
  <dcterms:modified xsi:type="dcterms:W3CDTF">2025-09-26T03:35:35Z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AA38A7551D8F44ABB9ACE87F0A8A0ADD</vt:lpwstr>
  </property>
  <property fmtid="{D5CDD505-2E9C-101B-9397-08002B2CF9AE}" pid="4" name="KSOTemplateDocerSaveRecord">
    <vt:lpwstr>eyJoZGlkIjoiYmM3MWY2MTM2YTVjZjExZGY3YTNjZmZhMjU5YWZjNGQiLCJ1c2VySWQiOiIxNjM2OTQ1NCJ9</vt:lpwstr>
  </property>
</Properties>
</file>