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default" w:ascii="Times New Roman" w:hAnsi="Times New Roman" w:eastAsia="方正黑体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3"/>
          <w:szCs w:val="33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3"/>
          <w:szCs w:val="33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黑体_GBK" w:cs="Times New Roman"/>
          <w:sz w:val="33"/>
          <w:szCs w:val="33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广安区2023年服务业高质量发展示范区项目专项资金管理办法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868" w:firstLineChars="200"/>
        <w:jc w:val="both"/>
        <w:textAlignment w:val="auto"/>
        <w:rPr>
          <w:rFonts w:hint="default" w:ascii="Times New Roman" w:hAnsi="Times New Roman" w:eastAsia="方正小标宋简体" w:cs="Times New Roman"/>
          <w:color w:val="000000"/>
          <w:spacing w:val="-3"/>
          <w:sz w:val="44"/>
          <w:szCs w:val="44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黑体" w:cs="Times New Roman"/>
          <w:sz w:val="33"/>
          <w:szCs w:val="33"/>
        </w:rPr>
      </w:pPr>
      <w:r>
        <w:rPr>
          <w:rFonts w:hint="default" w:ascii="Times New Roman" w:hAnsi="Times New Roman" w:eastAsia="方正黑体_GBK" w:cs="Times New Roman"/>
          <w:color w:val="000000"/>
          <w:sz w:val="33"/>
          <w:szCs w:val="33"/>
        </w:rPr>
        <w:t>第一章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lang w:val="en-US" w:eastAsia="zh-CN"/>
        </w:rPr>
        <w:t xml:space="preserve">  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</w:rPr>
        <w:t>总  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0"/>
        <w:textAlignment w:val="auto"/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</w:pPr>
      <w:r>
        <w:rPr>
          <w:rFonts w:hint="default" w:ascii="Times New Roman" w:hAnsi="Times New Roman" w:eastAsia="方正黑体_GBK" w:cs="Times New Roman"/>
          <w:color w:val="000000"/>
          <w:sz w:val="33"/>
          <w:szCs w:val="33"/>
        </w:rPr>
        <w:t xml:space="preserve">第一条 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  <w:t>为加强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服务业高质量发展示范区项目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  <w:t>专项资金（以下简称专项资金）管理，充分发挥专项资金使用效益，根据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CN"/>
        </w:rPr>
        <w:t>《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  <w:t>四川省财政厅 四川省商务厅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关于印发省级服务业发展专项资金管理办法的通知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CN"/>
        </w:rPr>
        <w:t>》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  <w:t>川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财建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  <w:t>〔202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  <w:t>〕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177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  <w:t>号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）、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CN"/>
        </w:rPr>
        <w:t>《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  <w:t>四川省财政厅 四川省商务厅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关于进一步加强商务发展相关专项资金管理的通知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CN"/>
        </w:rPr>
        <w:t>》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  <w:t>川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财建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  <w:t>〔202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  <w:t>〕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138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  <w:t>号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  <w:t>精神，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CN"/>
        </w:rPr>
        <w:t>特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  <w:t>制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CN"/>
        </w:rPr>
        <w:t>定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  <w:t>本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办法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</w:pPr>
      <w:r>
        <w:rPr>
          <w:rFonts w:hint="default" w:ascii="Times New Roman" w:hAnsi="Times New Roman" w:eastAsia="方正黑体_GBK" w:cs="Times New Roman"/>
          <w:color w:val="000000"/>
          <w:sz w:val="33"/>
          <w:szCs w:val="33"/>
        </w:rPr>
        <w:t xml:space="preserve">第二条 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  <w:t>本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办法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  <w:t>所称专项资金是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highlight w:val="none"/>
          <w:lang w:val="zh-TW" w:eastAsia="zh-TW"/>
        </w:rPr>
        <w:t>指202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highlight w:val="none"/>
          <w:lang w:val="zh-TW" w:eastAsia="zh-TW"/>
        </w:rPr>
        <w:t>年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highlight w:val="none"/>
          <w:lang w:val="en-US" w:eastAsia="zh-CN"/>
        </w:rPr>
        <w:t>创建服务业高质量发展示范区项目资金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highlight w:val="none"/>
          <w:lang w:val="zh-TW" w:eastAsia="zh-TW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highlight w:val="none"/>
          <w:lang w:val="en-US" w:eastAsia="zh-CN"/>
        </w:rPr>
        <w:t>专项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highlight w:val="none"/>
          <w:lang w:val="zh-TW" w:eastAsia="zh-TW"/>
        </w:rPr>
        <w:t>用于广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  <w:t>安区20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  <w:t>年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服务业高质量发展示范区项目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  <w:t>建设。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</w:pPr>
      <w:r>
        <w:rPr>
          <w:rFonts w:hint="default" w:ascii="Times New Roman" w:hAnsi="Times New Roman" w:eastAsia="方正黑体_GBK" w:cs="Times New Roman"/>
          <w:color w:val="000000"/>
          <w:sz w:val="33"/>
          <w:szCs w:val="33"/>
        </w:rPr>
        <w:t xml:space="preserve">第三条 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专项资金由区财政局、区商务局共同管理，按照部门职责分工实施管理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CN"/>
        </w:rPr>
        <w:t>）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区商务局。负责项目申报、组织实施和监督管理；</w:t>
      </w:r>
      <w:r>
        <w:rPr>
          <w:rFonts w:hint="default" w:ascii="Times New Roman" w:hAnsi="Times New Roman" w:eastAsia="方正仿宋_GBK" w:cs="Times New Roman"/>
          <w:color w:val="000000"/>
          <w:spacing w:val="-6"/>
          <w:sz w:val="33"/>
          <w:szCs w:val="33"/>
          <w:lang w:val="en-US" w:eastAsia="zh-CN"/>
        </w:rPr>
        <w:t>负责对专项资金实行绩效监控并开展本地区专项资金绩效自评。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（二）区财政局。负责专项资金拨付和监督管理，组织实施本地区专项资金绩效评价。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（三）项目单位。负责项目的具体实施，收集、整理和报送项目执行相关信息；负责对申报项目资料的真实性、完整性和合规性负责；负责按相关规定对项目进度、工程质量严格把关；负责对项目绩效进行自评。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</w:pPr>
      <w:r>
        <w:rPr>
          <w:rFonts w:hint="default" w:ascii="Times New Roman" w:hAnsi="Times New Roman" w:eastAsia="方正黑体_GBK" w:cs="Times New Roman"/>
          <w:color w:val="000000"/>
          <w:sz w:val="33"/>
          <w:szCs w:val="33"/>
        </w:rPr>
        <w:t>第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lang w:val="en-US" w:eastAsia="zh-CN"/>
        </w:rPr>
        <w:t>四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</w:rPr>
        <w:t xml:space="preserve">条 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专项资金支持对象应符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  <w:t>合我区经济发展规划和中、省、市、区确定的产业及区域发展方向，确保专项资金使用规范高效。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cs="Times New Roman"/>
          <w:lang w:val="zh-TW" w:eastAsia="zh-TW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黑体_GBK" w:cs="Times New Roman"/>
          <w:sz w:val="33"/>
          <w:szCs w:val="33"/>
        </w:rPr>
      </w:pPr>
      <w:r>
        <w:rPr>
          <w:rFonts w:hint="default" w:ascii="Times New Roman" w:hAnsi="Times New Roman" w:eastAsia="方正黑体_GBK" w:cs="Times New Roman"/>
          <w:sz w:val="33"/>
          <w:szCs w:val="33"/>
        </w:rPr>
        <w:t>第二章</w:t>
      </w:r>
      <w:r>
        <w:rPr>
          <w:rFonts w:hint="default" w:ascii="Times New Roman" w:hAnsi="Times New Roman" w:eastAsia="方正黑体_GBK" w:cs="Times New Roman"/>
          <w:sz w:val="33"/>
          <w:szCs w:val="33"/>
          <w:lang w:val="en-US" w:eastAsia="zh-CN"/>
        </w:rPr>
        <w:t xml:space="preserve">  </w:t>
      </w:r>
      <w:r>
        <w:rPr>
          <w:rFonts w:hint="default" w:ascii="Times New Roman" w:hAnsi="Times New Roman" w:eastAsia="方正黑体_GBK" w:cs="Times New Roman"/>
          <w:sz w:val="33"/>
          <w:szCs w:val="33"/>
        </w:rPr>
        <w:t>遵循原则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</w:pP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lang w:val="zh-TW" w:eastAsia="zh-CN"/>
        </w:rPr>
        <w:t>第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lang w:val="en-US" w:eastAsia="zh-CN"/>
        </w:rPr>
        <w:t>五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lang w:val="zh-TW" w:eastAsia="zh-CN"/>
        </w:rPr>
        <w:t xml:space="preserve">条 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专项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  <w:t>资金实行</w:t>
      </w:r>
      <w:r>
        <w:rPr>
          <w:rFonts w:hint="eastAsia" w:ascii="Times New Roman" w:hAnsi="Times New Roman" w:eastAsia="方正仿宋_GBK" w:cs="Times New Roman"/>
          <w:color w:val="000000"/>
          <w:sz w:val="33"/>
          <w:szCs w:val="33"/>
          <w:lang w:val="zh-TW" w:eastAsia="zh-CN"/>
        </w:rPr>
        <w:t>“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  <w:t>专人管理、专账核算、专项使用</w:t>
      </w:r>
      <w:r>
        <w:rPr>
          <w:rFonts w:hint="eastAsia" w:ascii="Times New Roman" w:hAnsi="Times New Roman" w:eastAsia="方正仿宋_GBK" w:cs="Times New Roman"/>
          <w:color w:val="000000"/>
          <w:sz w:val="33"/>
          <w:szCs w:val="33"/>
          <w:lang w:val="zh-TW" w:eastAsia="zh-CN"/>
        </w:rPr>
        <w:t>”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0" w:lineRule="exact"/>
        <w:ind w:firstLine="66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</w:pP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lang w:val="zh-TW" w:eastAsia="zh-TW"/>
        </w:rPr>
        <w:t>第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lang w:val="en-US" w:eastAsia="zh-CN"/>
        </w:rPr>
        <w:t>六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lang w:val="zh-TW" w:eastAsia="zh-TW"/>
        </w:rPr>
        <w:t xml:space="preserve">条 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专项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  <w:t>资金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要按规定用途使用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  <w:t>，任何单位不得擅自调项、扩项、缩项，更不准拆借、挪用、挤占和随意扣压。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60" w:firstLineChars="200"/>
        <w:textAlignment w:val="auto"/>
        <w:rPr>
          <w:rFonts w:hint="default" w:ascii="Times New Roman" w:hAnsi="Times New Roman" w:eastAsia="方正黑体_GBK" w:cs="Times New Roman"/>
          <w:color w:val="000000"/>
          <w:sz w:val="33"/>
          <w:szCs w:val="33"/>
          <w:lang w:val="zh-TW"/>
        </w:rPr>
      </w:pP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lang w:val="zh-TW" w:eastAsia="zh-TW"/>
        </w:rPr>
        <w:t>第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lang w:val="en-US" w:eastAsia="zh-CN"/>
        </w:rPr>
        <w:t>七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lang w:val="zh-TW" w:eastAsia="zh-TW"/>
        </w:rPr>
        <w:t>条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lang w:val="zh-TW"/>
        </w:rPr>
        <w:t xml:space="preserve"> 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  <w:t>所有项目实施必须坚持公开透明的原则。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highlight w:val="none"/>
          <w:lang w:val="en-US" w:eastAsia="zh-CN"/>
        </w:rPr>
        <w:t>业主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highlight w:val="none"/>
          <w:lang w:val="zh-TW" w:eastAsia="zh-TW"/>
        </w:rPr>
        <w:t>单位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highlight w:val="none"/>
          <w:lang w:val="en-US" w:eastAsia="zh-CN"/>
        </w:rPr>
        <w:t>按计划实施项目，申报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highlight w:val="none"/>
        </w:rPr>
        <w:t>单位作为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highlight w:val="none"/>
          <w:lang w:val="zh-TW" w:eastAsia="zh-TW"/>
        </w:rPr>
        <w:t>项目的管理单位对项目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  <w:t>建设进度及资金使用情况进行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/>
        </w:rPr>
        <w:t>监管。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13" w:firstLineChars="186"/>
        <w:textAlignment w:val="auto"/>
        <w:rPr>
          <w:rFonts w:hint="default" w:ascii="Times New Roman" w:hAnsi="Times New Roman" w:eastAsia="方正黑体_GBK" w:cs="Times New Roman"/>
          <w:bCs/>
          <w:sz w:val="33"/>
          <w:szCs w:val="33"/>
        </w:rPr>
      </w:pP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lang w:val="zh-TW"/>
        </w:rPr>
        <w:t>第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lang w:val="en-US" w:eastAsia="zh-CN"/>
        </w:rPr>
        <w:t>八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lang w:val="zh-TW"/>
        </w:rPr>
        <w:t>条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lang w:val="en-US" w:eastAsia="zh-CN"/>
        </w:rPr>
        <w:t xml:space="preserve"> 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lang w:val="zh-TW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项目应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严格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按照实施方案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组织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实施，如有特殊情况需对个别项目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进行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调整的，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需由区商务局提出调整意见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报区政府同意后，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按程序报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省财政厅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省商务厅、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省人社厅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备案后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予以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调整。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60" w:firstLineChars="200"/>
        <w:jc w:val="center"/>
        <w:textAlignment w:val="auto"/>
        <w:rPr>
          <w:rFonts w:hint="default" w:ascii="Times New Roman" w:hAnsi="Times New Roman" w:eastAsia="方正黑体_GBK" w:cs="Times New Roman"/>
          <w:color w:val="000000"/>
          <w:sz w:val="33"/>
          <w:szCs w:val="33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hint="default" w:ascii="Times New Roman" w:hAnsi="Times New Roman" w:eastAsia="仿宋_GB2312" w:cs="Times New Roman"/>
          <w:sz w:val="33"/>
          <w:szCs w:val="33"/>
        </w:rPr>
      </w:pPr>
      <w:r>
        <w:rPr>
          <w:rFonts w:hint="default" w:ascii="Times New Roman" w:hAnsi="Times New Roman" w:eastAsia="方正黑体_GBK" w:cs="Times New Roman"/>
          <w:color w:val="000000"/>
          <w:sz w:val="33"/>
          <w:szCs w:val="33"/>
        </w:rPr>
        <w:t>第三章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lang w:val="en-US" w:eastAsia="zh-CN"/>
        </w:rPr>
        <w:t xml:space="preserve">  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</w:rPr>
        <w:t>资金支持方向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3"/>
          <w:szCs w:val="33"/>
          <w:highlight w:val="none"/>
          <w:lang w:val="zh-TW"/>
        </w:rPr>
      </w:pP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highlight w:val="none"/>
        </w:rPr>
        <w:t>第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highlight w:val="none"/>
          <w:lang w:val="en-US" w:eastAsia="zh-CN"/>
        </w:rPr>
        <w:t>九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highlight w:val="none"/>
        </w:rPr>
        <w:t xml:space="preserve">条 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highlight w:val="none"/>
          <w:lang w:val="en-US" w:eastAsia="zh-CN"/>
        </w:rPr>
        <w:t>主导产业发展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highlight w:val="none"/>
          <w:lang w:val="zh-TW"/>
        </w:rPr>
        <w:t>。围绕构建</w:t>
      </w:r>
      <w:r>
        <w:rPr>
          <w:rFonts w:hint="eastAsia" w:ascii="Times New Roman" w:hAnsi="Times New Roman" w:eastAsia="方正仿宋_GBK" w:cs="Times New Roman"/>
          <w:color w:val="000000"/>
          <w:sz w:val="33"/>
          <w:szCs w:val="33"/>
          <w:highlight w:val="none"/>
          <w:lang w:val="zh-TW" w:eastAsia="zh-CN"/>
        </w:rPr>
        <w:t>“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highlight w:val="none"/>
          <w:lang w:val="zh-TW"/>
        </w:rPr>
        <w:t>2+5</w:t>
      </w:r>
      <w:r>
        <w:rPr>
          <w:rFonts w:hint="eastAsia" w:ascii="Times New Roman" w:hAnsi="Times New Roman" w:eastAsia="方正仿宋_GBK" w:cs="Times New Roman"/>
          <w:color w:val="000000"/>
          <w:sz w:val="33"/>
          <w:szCs w:val="33"/>
          <w:highlight w:val="none"/>
          <w:lang w:val="zh-TW" w:eastAsia="zh-CN"/>
        </w:rPr>
        <w:t>”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highlight w:val="none"/>
          <w:lang w:val="zh-TW"/>
        </w:rPr>
        <w:t>现代服务业体系，大力发展商业贸易、文化旅游两大优势服务业，推动主导产业提质增效。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3"/>
          <w:szCs w:val="33"/>
          <w:highlight w:val="none"/>
          <w:lang w:val="zh-TW"/>
        </w:rPr>
      </w:pP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highlight w:val="none"/>
        </w:rPr>
        <w:t xml:space="preserve">第十条 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highlight w:val="none"/>
          <w:lang w:val="en-US" w:eastAsia="zh-CN"/>
        </w:rPr>
        <w:t>创新驱动发展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highlight w:val="none"/>
          <w:lang w:val="zh-TW"/>
        </w:rPr>
        <w:t>。鼓励全区服务业企业发展智慧化服务、消费新场景、电商直播等新业态，加快产品创新、业态创新和模式创新。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3"/>
          <w:szCs w:val="33"/>
          <w:highlight w:val="none"/>
        </w:rPr>
      </w:pP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highlight w:val="none"/>
        </w:rPr>
        <w:t>第十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highlight w:val="none"/>
          <w:lang w:val="en-US" w:eastAsia="zh-CN"/>
        </w:rPr>
        <w:t>一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highlight w:val="none"/>
        </w:rPr>
        <w:t>条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highlight w:val="none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highlight w:val="none"/>
          <w:lang w:val="en-US" w:eastAsia="zh-CN"/>
        </w:rPr>
        <w:t xml:space="preserve"> 产业融合发展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highlight w:val="none"/>
        </w:rPr>
        <w:t>。依托我区优质农特产品基础，构建一二三产业融合发展良好态势。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3"/>
          <w:szCs w:val="33"/>
        </w:rPr>
      </w:pPr>
      <w:r>
        <w:rPr>
          <w:rFonts w:hint="default" w:ascii="Times New Roman" w:hAnsi="Times New Roman" w:eastAsia="方正黑体_GBK" w:cs="Times New Roman"/>
          <w:sz w:val="33"/>
          <w:szCs w:val="33"/>
        </w:rPr>
        <w:t>第四章</w:t>
      </w:r>
      <w:r>
        <w:rPr>
          <w:rFonts w:hint="default" w:ascii="Times New Roman" w:hAnsi="Times New Roman" w:eastAsia="方正黑体_GBK" w:cs="Times New Roman"/>
          <w:sz w:val="33"/>
          <w:szCs w:val="33"/>
          <w:lang w:val="en-US" w:eastAsia="zh-CN"/>
        </w:rPr>
        <w:t xml:space="preserve">  </w:t>
      </w:r>
      <w:r>
        <w:rPr>
          <w:rFonts w:hint="default" w:ascii="Times New Roman" w:hAnsi="Times New Roman" w:eastAsia="方正黑体_GBK" w:cs="Times New Roman"/>
          <w:sz w:val="33"/>
          <w:szCs w:val="33"/>
        </w:rPr>
        <w:t>项目资金的申报和审批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bCs/>
          <w:sz w:val="33"/>
          <w:szCs w:val="33"/>
        </w:rPr>
      </w:pPr>
      <w:r>
        <w:rPr>
          <w:rFonts w:hint="default" w:ascii="Times New Roman" w:hAnsi="Times New Roman" w:eastAsia="方正黑体_GBK" w:cs="Times New Roman"/>
          <w:color w:val="000000"/>
          <w:sz w:val="33"/>
          <w:szCs w:val="33"/>
        </w:rPr>
        <w:t>第十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lang w:val="en-US" w:eastAsia="zh-CN"/>
        </w:rPr>
        <w:t>二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</w:rPr>
        <w:t>条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lang w:val="en-US" w:eastAsia="zh-CN"/>
        </w:rPr>
        <w:t xml:space="preserve"> 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项目业主单位为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  <w:t>在广安区注册、具有健全的财务机构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  <w:t>财务管理制度的独立法人企业，且近三年内没有违法违纪行为。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</w:pPr>
      <w:r>
        <w:rPr>
          <w:rFonts w:hint="default" w:ascii="Times New Roman" w:hAnsi="Times New Roman" w:eastAsia="方正黑体_GBK" w:cs="Times New Roman"/>
          <w:color w:val="000000"/>
          <w:sz w:val="33"/>
          <w:szCs w:val="33"/>
        </w:rPr>
        <w:t>第十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lang w:val="en-US" w:eastAsia="zh-CN"/>
        </w:rPr>
        <w:t>三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</w:rPr>
        <w:t>条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  <w:t xml:space="preserve"> 对中央和省级财政其他资金已经支持的项目，专项资金原则上不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得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  <w:t>支持。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</w:pPr>
      <w:r>
        <w:rPr>
          <w:rFonts w:hint="default" w:ascii="Times New Roman" w:hAnsi="Times New Roman" w:eastAsia="方正黑体_GBK" w:cs="Times New Roman"/>
          <w:color w:val="000000"/>
          <w:sz w:val="33"/>
          <w:szCs w:val="33"/>
        </w:rPr>
        <w:t>第十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lang w:val="en-US" w:eastAsia="zh-CN"/>
        </w:rPr>
        <w:t>四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</w:rPr>
        <w:t xml:space="preserve">条 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  <w:t>按照公平、公正、公开的原则，择优选择支持项目，按程序报区政府审定后对外公示。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color w:val="000000"/>
          <w:spacing w:val="-6"/>
          <w:sz w:val="33"/>
          <w:szCs w:val="33"/>
          <w:lang w:val="zh-TW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3"/>
          <w:szCs w:val="33"/>
        </w:rPr>
        <w:t>第十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lang w:val="en-US" w:eastAsia="zh-CN"/>
        </w:rPr>
        <w:t>五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</w:rPr>
        <w:t>条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pacing w:val="-6"/>
          <w:sz w:val="33"/>
          <w:szCs w:val="33"/>
          <w:lang w:val="zh-TW" w:eastAsia="zh-TW"/>
        </w:rPr>
        <w:t>采取以奖代补的方式</w:t>
      </w:r>
      <w:r>
        <w:rPr>
          <w:rFonts w:hint="default" w:ascii="Times New Roman" w:hAnsi="Times New Roman" w:eastAsia="方正仿宋_GBK" w:cs="Times New Roman"/>
          <w:color w:val="000000"/>
          <w:spacing w:val="-6"/>
          <w:sz w:val="33"/>
          <w:szCs w:val="33"/>
          <w:lang w:val="en-US" w:eastAsia="zh-CN"/>
        </w:rPr>
        <w:t>对支持项目</w:t>
      </w:r>
      <w:r>
        <w:rPr>
          <w:rFonts w:hint="default" w:ascii="Times New Roman" w:hAnsi="Times New Roman" w:eastAsia="方正仿宋_GBK" w:cs="Times New Roman"/>
          <w:color w:val="000000"/>
          <w:spacing w:val="-6"/>
          <w:sz w:val="33"/>
          <w:szCs w:val="33"/>
          <w:lang w:val="zh-TW" w:eastAsia="zh-TW"/>
        </w:rPr>
        <w:t>进行定额补助</w:t>
      </w:r>
      <w:r>
        <w:rPr>
          <w:rFonts w:hint="default" w:ascii="Times New Roman" w:hAnsi="Times New Roman" w:eastAsia="方正仿宋_GBK" w:cs="Times New Roman"/>
          <w:color w:val="000000"/>
          <w:spacing w:val="-6"/>
          <w:sz w:val="33"/>
          <w:szCs w:val="33"/>
          <w:lang w:val="zh-TW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3"/>
          <w:szCs w:val="33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cs="Times New Roman"/>
          <w:sz w:val="33"/>
          <w:szCs w:val="33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3"/>
          <w:szCs w:val="33"/>
        </w:rPr>
        <w:t>第五章</w:t>
      </w:r>
      <w:r>
        <w:rPr>
          <w:rFonts w:hint="default" w:ascii="Times New Roman" w:hAnsi="Times New Roman" w:eastAsia="方正黑体_GBK" w:cs="Times New Roman"/>
          <w:color w:val="000000"/>
          <w:kern w:val="0"/>
          <w:sz w:val="33"/>
          <w:szCs w:val="33"/>
          <w:lang w:val="en-US" w:eastAsia="zh-CN"/>
        </w:rPr>
        <w:t xml:space="preserve">  </w:t>
      </w:r>
      <w:r>
        <w:rPr>
          <w:rFonts w:hint="default" w:ascii="Times New Roman" w:hAnsi="Times New Roman" w:eastAsia="方正黑体_GBK" w:cs="Times New Roman"/>
          <w:color w:val="000000"/>
          <w:kern w:val="0"/>
          <w:sz w:val="33"/>
          <w:szCs w:val="33"/>
        </w:rPr>
        <w:t>项目的验收及资金拨付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leftChars="0" w:firstLine="66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3"/>
          <w:szCs w:val="33"/>
        </w:rPr>
        <w:t>第十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lang w:val="en-US" w:eastAsia="zh-CN"/>
        </w:rPr>
        <w:t>六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</w:rPr>
        <w:t>条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3"/>
          <w:szCs w:val="33"/>
          <w:lang w:val="en-US" w:eastAsia="zh-CN"/>
        </w:rPr>
        <w:t>实施过程中，项目业主单位应积极接受省财政厅等部门组织的中期绩效评价。中期绩效评价前，专项资金拨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jc w:val="both"/>
        <w:textAlignment w:val="auto"/>
        <w:rPr>
          <w:rFonts w:hint="eastAsia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付比例不得超过70%，顺利通过后予以保障后续补助资金，否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default" w:ascii="Times New Roman" w:hAnsi="Times New Roman" w:eastAsia="方正黑体_GBK" w:cs="Times New Roman"/>
          <w:color w:val="000000"/>
          <w:sz w:val="33"/>
          <w:szCs w:val="33"/>
          <w:highlight w:val="none"/>
          <w:lang w:val="zh-TW" w:eastAsia="zh-TW"/>
        </w:rPr>
      </w:pP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则取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highlight w:val="none"/>
          <w:lang w:val="en-US" w:eastAsia="zh-CN"/>
        </w:rPr>
        <w:t>消未兑现的补助资金。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ind w:leftChars="0" w:firstLine="66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3"/>
          <w:szCs w:val="33"/>
          <w:highlight w:val="none"/>
          <w:lang w:val="zh-TW" w:eastAsia="zh-TW"/>
        </w:rPr>
      </w:pP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highlight w:val="none"/>
        </w:rPr>
        <w:t>第十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highlight w:val="none"/>
          <w:lang w:val="en-US" w:eastAsia="zh-CN"/>
        </w:rPr>
        <w:t>七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highlight w:val="none"/>
        </w:rPr>
        <w:t>条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highlight w:val="none"/>
          <w:lang w:val="zh-TW" w:eastAsia="zh-TW"/>
        </w:rPr>
        <w:t>对建设类项目补助资金，按照项目进度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highlight w:val="none"/>
          <w:lang w:val="en-US" w:eastAsia="zh-CN"/>
        </w:rPr>
        <w:t>分批拨付专项资金，原则上不超过3次，且最后一次为通过竣工验收后拨付。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ind w:leftChars="0" w:firstLine="66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3"/>
          <w:szCs w:val="33"/>
          <w:highlight w:val="none"/>
          <w:lang w:val="zh-TW" w:eastAsia="zh-TW"/>
        </w:rPr>
      </w:pP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highlight w:val="none"/>
        </w:rPr>
        <w:t>第十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highlight w:val="none"/>
          <w:lang w:val="en-US" w:eastAsia="zh-CN"/>
        </w:rPr>
        <w:t>八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highlight w:val="none"/>
        </w:rPr>
        <w:t>条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highlight w:val="none"/>
          <w:lang w:val="en-US" w:eastAsia="zh-CN"/>
        </w:rPr>
        <w:t>补助资金额度较小（不超过100万元）或占项目总投资不超过10%的，可按程序一次性拨付到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highlight w:val="none"/>
          <w:lang w:val="zh-TW" w:eastAsia="zh-TW"/>
        </w:rPr>
        <w:t>项目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highlight w:val="none"/>
          <w:lang w:val="en-US" w:eastAsia="zh-CN"/>
        </w:rPr>
        <w:t>业主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highlight w:val="none"/>
          <w:lang w:val="zh-TW" w:eastAsia="zh-TW"/>
        </w:rPr>
        <w:t>单位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highlight w:val="none"/>
          <w:lang w:val="en-US" w:eastAsia="zh-CN"/>
        </w:rPr>
        <w:t>，但中期绩效评价前专项资金拨付比例不得超过70%。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</w:pP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highlight w:val="none"/>
          <w:lang w:val="zh-TW" w:eastAsia="zh-TW"/>
        </w:rPr>
        <w:t>第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highlight w:val="none"/>
          <w:lang w:val="en-US" w:eastAsia="zh-CN"/>
        </w:rPr>
        <w:t>十九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highlight w:val="none"/>
          <w:lang w:val="zh-TW" w:eastAsia="zh-TW"/>
        </w:rPr>
        <w:t>条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highlight w:val="none"/>
          <w:lang w:val="zh-TW" w:eastAsia="zh-TW"/>
        </w:rPr>
        <w:t xml:space="preserve"> 项目完成后，项目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highlight w:val="none"/>
          <w:lang w:val="en-US" w:eastAsia="zh-CN"/>
        </w:rPr>
        <w:t>业主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highlight w:val="none"/>
          <w:lang w:val="zh-TW" w:eastAsia="zh-TW"/>
        </w:rPr>
        <w:t>单位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highlight w:val="none"/>
          <w:lang w:val="en-US" w:eastAsia="zh-CN"/>
        </w:rPr>
        <w:t>对项目实施情况开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展绩效自评，并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  <w:t>向区商务局书面提交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区级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  <w:t>验收申请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CN"/>
        </w:rPr>
        <w:t>。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  <w:t>区商务局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会同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  <w:t>区财政局对项目进行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区级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  <w:t>验收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区商务局、区财政局分别对专项资金开展绩效自评和绩效评价。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</w:pPr>
      <w:r>
        <w:rPr>
          <w:rFonts w:hint="default" w:ascii="Times New Roman" w:hAnsi="Times New Roman" w:eastAsia="方正黑体_GBK" w:cs="Times New Roman"/>
          <w:color w:val="000000"/>
          <w:sz w:val="33"/>
          <w:szCs w:val="33"/>
        </w:rPr>
        <w:t>第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lang w:val="en-US" w:eastAsia="zh-CN"/>
        </w:rPr>
        <w:t>二十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</w:rPr>
        <w:t xml:space="preserve">条 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  <w:t>区级项目验收合格后，区商务局聘请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第三方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  <w:t>专业机构对资金使用情况进行审计，再联合区财政局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等单位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  <w:t>向市商务局、市财政局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等单位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  <w:t>申请市级验收和绩效评价。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60" w:firstLineChars="200"/>
        <w:textAlignment w:val="auto"/>
        <w:rPr>
          <w:rFonts w:hint="default" w:ascii="Times New Roman" w:hAnsi="Times New Roman" w:eastAsia="仿宋" w:cs="Times New Roman"/>
          <w:sz w:val="33"/>
          <w:szCs w:val="3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jc w:val="center"/>
        <w:textAlignment w:val="auto"/>
        <w:rPr>
          <w:rFonts w:hint="default" w:ascii="Times New Roman" w:hAnsi="Times New Roman" w:eastAsia="仿宋_GB2312" w:cs="Times New Roman"/>
          <w:sz w:val="33"/>
          <w:szCs w:val="33"/>
        </w:rPr>
      </w:pPr>
      <w:r>
        <w:rPr>
          <w:rFonts w:hint="default" w:ascii="Times New Roman" w:hAnsi="Times New Roman" w:eastAsia="方正黑体_GBK" w:cs="Times New Roman"/>
          <w:color w:val="000000"/>
          <w:sz w:val="33"/>
          <w:szCs w:val="33"/>
        </w:rPr>
        <w:t>第六章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lang w:val="en-US" w:eastAsia="zh-CN"/>
        </w:rPr>
        <w:t xml:space="preserve">  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</w:rPr>
        <w:t>资金的监督和管理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60" w:firstLineChars="200"/>
        <w:textAlignment w:val="auto"/>
        <w:rPr>
          <w:rFonts w:hint="default" w:ascii="Times New Roman" w:hAnsi="Times New Roman" w:eastAsia="方正黑体_GBK" w:cs="Times New Roman"/>
          <w:sz w:val="33"/>
          <w:szCs w:val="33"/>
        </w:rPr>
      </w:pPr>
      <w:r>
        <w:rPr>
          <w:rFonts w:hint="default" w:ascii="Times New Roman" w:hAnsi="Times New Roman" w:eastAsia="方正黑体_GBK" w:cs="Times New Roman"/>
          <w:sz w:val="33"/>
          <w:szCs w:val="33"/>
        </w:rPr>
        <w:t>第</w:t>
      </w:r>
      <w:r>
        <w:rPr>
          <w:rFonts w:hint="default" w:ascii="Times New Roman" w:hAnsi="Times New Roman" w:eastAsia="方正黑体_GBK" w:cs="Times New Roman"/>
          <w:sz w:val="33"/>
          <w:szCs w:val="33"/>
          <w:lang w:val="en-US" w:eastAsia="zh-CN"/>
        </w:rPr>
        <w:t>二十一</w:t>
      </w:r>
      <w:r>
        <w:rPr>
          <w:rFonts w:hint="default" w:ascii="Times New Roman" w:hAnsi="Times New Roman" w:eastAsia="方正黑体_GBK" w:cs="Times New Roman"/>
          <w:sz w:val="33"/>
          <w:szCs w:val="33"/>
        </w:rPr>
        <w:t xml:space="preserve">条 </w:t>
      </w:r>
      <w:r>
        <w:rPr>
          <w:rFonts w:hint="default" w:ascii="Times New Roman" w:hAnsi="Times New Roman" w:eastAsia="方正黑体_GBK" w:cs="Times New Roman"/>
          <w:sz w:val="33"/>
          <w:szCs w:val="33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  <w:t>区商务局、区财政局负责对专项资金的使用和项目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建设进展情况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  <w:t>进行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日常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  <w:t>监督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管理，及时发现和纠正问题，充分发挥资金使用效益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  <w:t>。各资金使用单位应自觉接受区商务局、区财政局等部门的监督检查。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</w:pPr>
      <w:r>
        <w:rPr>
          <w:rFonts w:hint="default" w:ascii="Times New Roman" w:hAnsi="Times New Roman" w:eastAsia="方正黑体_GBK" w:cs="Times New Roman"/>
          <w:sz w:val="33"/>
          <w:szCs w:val="33"/>
        </w:rPr>
        <w:t>第二十</w:t>
      </w:r>
      <w:r>
        <w:rPr>
          <w:rFonts w:hint="default" w:ascii="Times New Roman" w:hAnsi="Times New Roman" w:eastAsia="方正黑体_GBK" w:cs="Times New Roman"/>
          <w:sz w:val="33"/>
          <w:szCs w:val="33"/>
          <w:lang w:val="en-US" w:eastAsia="zh-CN"/>
        </w:rPr>
        <w:t>二</w:t>
      </w:r>
      <w:r>
        <w:rPr>
          <w:rFonts w:hint="default" w:ascii="Times New Roman" w:hAnsi="Times New Roman" w:eastAsia="方正黑体_GBK" w:cs="Times New Roman"/>
          <w:sz w:val="33"/>
          <w:szCs w:val="33"/>
        </w:rPr>
        <w:t xml:space="preserve">条 </w:t>
      </w:r>
      <w:r>
        <w:rPr>
          <w:rFonts w:hint="default" w:ascii="Times New Roman" w:hAnsi="Times New Roman" w:eastAsia="方正黑体_GBK" w:cs="Times New Roman"/>
          <w:sz w:val="33"/>
          <w:szCs w:val="33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  <w:t>对实施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进度情况差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  <w:t>的项目，应暂缓资金拨付并限期整改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CN"/>
        </w:rPr>
        <w:t>；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  <w:t>对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限期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  <w:t>整改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未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  <w:t>到位的项目，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按程序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  <w:t>逐级上报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予以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  <w:t>清退、变更。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</w:pPr>
      <w:r>
        <w:rPr>
          <w:rFonts w:hint="default" w:ascii="Times New Roman" w:hAnsi="Times New Roman" w:eastAsia="方正黑体_GBK" w:cs="Times New Roman"/>
          <w:sz w:val="33"/>
          <w:szCs w:val="33"/>
        </w:rPr>
        <w:t>第二十</w:t>
      </w:r>
      <w:r>
        <w:rPr>
          <w:rFonts w:hint="default" w:ascii="Times New Roman" w:hAnsi="Times New Roman" w:eastAsia="方正黑体_GBK" w:cs="Times New Roman"/>
          <w:sz w:val="33"/>
          <w:szCs w:val="33"/>
          <w:lang w:val="en-US" w:eastAsia="zh-CN"/>
        </w:rPr>
        <w:t>三</w:t>
      </w:r>
      <w:r>
        <w:rPr>
          <w:rFonts w:hint="default" w:ascii="Times New Roman" w:hAnsi="Times New Roman" w:eastAsia="方正黑体_GBK" w:cs="Times New Roman"/>
          <w:sz w:val="33"/>
          <w:szCs w:val="33"/>
        </w:rPr>
        <w:t xml:space="preserve">条 </w:t>
      </w:r>
      <w:r>
        <w:rPr>
          <w:rFonts w:hint="default" w:ascii="Times New Roman" w:hAnsi="Times New Roman" w:eastAsia="方正黑体_GBK" w:cs="Times New Roman"/>
          <w:sz w:val="33"/>
          <w:szCs w:val="33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  <w:t>资金必须专款专用，对项目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业主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  <w:t>单位在专项资金申报和使用中违反本办法规定的，将全额追回已拨付的款项，并按有关规定追究相关单位和有关人员的责任。对弄虚作假、截留、挪用、挤占专项资金等行为，自次年起三年内不再受理该项目业主单位的专项资金申请，并按《财政违法行为处罚处分条例》（国务院令第427号）的相关规定进行处理。构成犯罪的，依法追究刑事责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textAlignment w:val="auto"/>
        <w:rPr>
          <w:rFonts w:hint="default" w:ascii="Times New Roman" w:hAnsi="Times New Roman" w:cs="Times New Roman"/>
          <w:lang w:val="zh-TW" w:eastAsia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sz w:val="33"/>
          <w:szCs w:val="33"/>
        </w:rPr>
      </w:pPr>
      <w:r>
        <w:rPr>
          <w:rFonts w:hint="default" w:ascii="Times New Roman" w:hAnsi="Times New Roman" w:eastAsia="方正黑体_GBK" w:cs="Times New Roman"/>
          <w:sz w:val="33"/>
          <w:szCs w:val="33"/>
        </w:rPr>
        <w:t>第七章</w:t>
      </w:r>
      <w:r>
        <w:rPr>
          <w:rFonts w:hint="default" w:ascii="Times New Roman" w:hAnsi="Times New Roman" w:eastAsia="方正黑体_GBK" w:cs="Times New Roman"/>
          <w:sz w:val="33"/>
          <w:szCs w:val="33"/>
          <w:lang w:val="en-US" w:eastAsia="zh-CN"/>
        </w:rPr>
        <w:t xml:space="preserve">  </w:t>
      </w:r>
      <w:r>
        <w:rPr>
          <w:rFonts w:hint="default" w:ascii="Times New Roman" w:hAnsi="Times New Roman" w:eastAsia="方正黑体_GBK" w:cs="Times New Roman"/>
          <w:sz w:val="33"/>
          <w:szCs w:val="33"/>
        </w:rPr>
        <w:t>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bCs/>
          <w:sz w:val="33"/>
          <w:szCs w:val="33"/>
        </w:rPr>
      </w:pPr>
      <w:r>
        <w:rPr>
          <w:rFonts w:hint="default" w:ascii="Times New Roman" w:hAnsi="Times New Roman" w:eastAsia="方正黑体_GBK" w:cs="Times New Roman"/>
          <w:sz w:val="33"/>
          <w:szCs w:val="33"/>
        </w:rPr>
        <w:t>第二十</w:t>
      </w:r>
      <w:r>
        <w:rPr>
          <w:rFonts w:hint="default" w:ascii="Times New Roman" w:hAnsi="Times New Roman" w:eastAsia="方正黑体_GBK" w:cs="Times New Roman"/>
          <w:sz w:val="33"/>
          <w:szCs w:val="33"/>
          <w:lang w:val="en-US" w:eastAsia="zh-CN"/>
        </w:rPr>
        <w:t>四</w:t>
      </w:r>
      <w:r>
        <w:rPr>
          <w:rFonts w:hint="default" w:ascii="Times New Roman" w:hAnsi="Times New Roman" w:eastAsia="方正黑体_GBK" w:cs="Times New Roman"/>
          <w:sz w:val="33"/>
          <w:szCs w:val="33"/>
        </w:rPr>
        <w:t xml:space="preserve">条 </w:t>
      </w:r>
      <w:r>
        <w:rPr>
          <w:rFonts w:hint="default" w:ascii="Times New Roman" w:hAnsi="Times New Roman" w:eastAsia="方正黑体_GBK" w:cs="Times New Roman"/>
          <w:sz w:val="33"/>
          <w:szCs w:val="33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  <w:t>本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办法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  <w:t xml:space="preserve">由区商务局负责解释和修订。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60" w:firstLineChars="20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3"/>
          <w:szCs w:val="33"/>
        </w:rPr>
        <w:t>第二十</w:t>
      </w:r>
      <w:r>
        <w:rPr>
          <w:rFonts w:hint="default" w:ascii="Times New Roman" w:hAnsi="Times New Roman" w:eastAsia="方正黑体_GBK" w:cs="Times New Roman"/>
          <w:sz w:val="33"/>
          <w:szCs w:val="33"/>
          <w:lang w:val="en-US" w:eastAsia="zh-CN"/>
        </w:rPr>
        <w:t>五</w:t>
      </w:r>
      <w:r>
        <w:rPr>
          <w:rFonts w:hint="default" w:ascii="Times New Roman" w:hAnsi="Times New Roman" w:eastAsia="方正黑体_GBK" w:cs="Times New Roman"/>
          <w:sz w:val="33"/>
          <w:szCs w:val="33"/>
        </w:rPr>
        <w:t>条</w:t>
      </w:r>
      <w:r>
        <w:rPr>
          <w:rFonts w:hint="default" w:ascii="Times New Roman" w:hAnsi="Times New Roman" w:eastAsia="方正黑体_GBK" w:cs="Times New Roman"/>
          <w:sz w:val="33"/>
          <w:szCs w:val="33"/>
          <w:lang w:val="en-US" w:eastAsia="zh-CN"/>
        </w:rPr>
        <w:t xml:space="preserve"> </w:t>
      </w:r>
      <w:r>
        <w:rPr>
          <w:rFonts w:hint="default" w:ascii="Times New Roman" w:hAnsi="Times New Roman" w:eastAsia="方正黑体_GBK" w:cs="Times New Roman"/>
          <w:sz w:val="33"/>
          <w:szCs w:val="33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  <w:t>本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办法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zh-TW" w:eastAsia="zh-TW"/>
        </w:rPr>
        <w:t>自发布之日起施行。</w:t>
      </w:r>
    </w:p>
    <w:p>
      <w:pPr>
        <w:bidi w:val="0"/>
        <w:jc w:val="distribute"/>
        <w:rPr>
          <w:rFonts w:hint="default"/>
          <w:lang w:val="en-US" w:eastAsia="zh-CN"/>
        </w:rPr>
      </w:pPr>
    </w:p>
    <w:p/>
    <w:sectPr>
      <w:pgSz w:w="11906" w:h="16838"/>
      <w:pgMar w:top="2098" w:right="1474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0OWJkMWQzMzI3MTUwNzYzZjM1YWY1ZDkzODdlY2IifQ=="/>
  </w:docVars>
  <w:rsids>
    <w:rsidRoot w:val="7DE24178"/>
    <w:rsid w:val="49C56590"/>
    <w:rsid w:val="7DE2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Salutation"/>
    <w:basedOn w:val="1"/>
    <w:next w:val="1"/>
    <w:qFormat/>
    <w:uiPriority w:val="99"/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2024-03-11T07:41:00Z</dcterms:created>
  <dc:creator>Liquor</dc:creator>
  <cp:lastModifiedBy>Liquor</cp:lastModifiedBy>
  <dcterms:modified xsi:type="dcterms:W3CDTF">2024-03-11T07:46:33Z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019D6588A72D47B8BCE5A4CEE3D06D5A_11</vt:lpwstr>
  </property>
</Properties>
</file>