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3F3" w:rsidRPr="005E1BBB" w:rsidRDefault="00F74C97" w:rsidP="00BD08A8">
      <w:pPr>
        <w:snapToGrid w:val="0"/>
        <w:jc w:val="center"/>
        <w:rPr>
          <w:rFonts w:ascii="方正小标宋简体" w:eastAsia="方正小标宋简体"/>
          <w:sz w:val="44"/>
          <w:szCs w:val="44"/>
        </w:rPr>
      </w:pPr>
      <w:r w:rsidRPr="005E1BBB">
        <w:rPr>
          <w:rFonts w:ascii="方正小标宋简体" w:eastAsia="方正小标宋简体" w:hint="eastAsia"/>
          <w:sz w:val="44"/>
          <w:szCs w:val="44"/>
        </w:rPr>
        <w:t>关于《</w:t>
      </w:r>
      <w:r w:rsidR="001A7775" w:rsidRPr="005E1BBB">
        <w:rPr>
          <w:rFonts w:ascii="方正小标宋简体" w:eastAsia="方正小标宋简体" w:hint="eastAsia"/>
          <w:sz w:val="44"/>
          <w:szCs w:val="44"/>
        </w:rPr>
        <w:t>广安市广安区</w:t>
      </w:r>
      <w:r w:rsidR="00F4579D" w:rsidRPr="005E1BBB">
        <w:rPr>
          <w:rFonts w:ascii="方正小标宋简体" w:eastAsia="方正小标宋简体" w:hint="eastAsia"/>
          <w:sz w:val="44"/>
          <w:szCs w:val="44"/>
        </w:rPr>
        <w:t>烟草制品零售点布局规定（征求意见稿）</w:t>
      </w:r>
      <w:r w:rsidRPr="005E1BBB">
        <w:rPr>
          <w:rFonts w:ascii="方正小标宋简体" w:eastAsia="方正小标宋简体" w:hint="eastAsia"/>
          <w:sz w:val="44"/>
          <w:szCs w:val="44"/>
        </w:rPr>
        <w:t>》的政策解读</w:t>
      </w:r>
    </w:p>
    <w:p w:rsidR="008E33F3" w:rsidRPr="005E1BBB" w:rsidRDefault="008E33F3" w:rsidP="005E1BBB">
      <w:pPr>
        <w:ind w:firstLineChars="200" w:firstLine="640"/>
        <w:rPr>
          <w:rFonts w:ascii="仿宋_GB2312" w:eastAsia="仿宋_GB2312"/>
          <w:sz w:val="32"/>
          <w:szCs w:val="32"/>
        </w:rPr>
      </w:pPr>
    </w:p>
    <w:p w:rsidR="008E33F3" w:rsidRPr="005E1BBB" w:rsidRDefault="00F74C97" w:rsidP="005E1BBB">
      <w:pPr>
        <w:ind w:firstLineChars="200" w:firstLine="640"/>
        <w:rPr>
          <w:rFonts w:ascii="黑体" w:eastAsia="黑体" w:hAnsi="黑体"/>
          <w:sz w:val="32"/>
          <w:szCs w:val="32"/>
        </w:rPr>
      </w:pPr>
      <w:r w:rsidRPr="005E1BBB">
        <w:rPr>
          <w:rFonts w:ascii="黑体" w:eastAsia="黑体" w:hAnsi="黑体" w:hint="eastAsia"/>
          <w:sz w:val="32"/>
          <w:szCs w:val="32"/>
        </w:rPr>
        <w:t>一、制定背景及意义</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随着</w:t>
      </w:r>
      <w:r w:rsidR="005E1BBB">
        <w:rPr>
          <w:rFonts w:ascii="仿宋_GB2312" w:eastAsia="仿宋_GB2312" w:hint="eastAsia"/>
          <w:sz w:val="32"/>
          <w:szCs w:val="32"/>
        </w:rPr>
        <w:t>广安区</w:t>
      </w:r>
      <w:r w:rsidRPr="005E1BBB">
        <w:rPr>
          <w:rFonts w:ascii="仿宋_GB2312" w:eastAsia="仿宋_GB2312" w:hint="eastAsia"/>
          <w:sz w:val="32"/>
          <w:szCs w:val="32"/>
        </w:rPr>
        <w:t>经济不断发展，特别是伴随国家法律法规、政策规定日益完善，原先制定的《规划》部分标准已不适应当前形势以及新的许可证管理办法等相关法律法规的变化需要，亟待制定新的更科学、更合理、更具体的长远规定来满足社会需求。</w:t>
      </w:r>
    </w:p>
    <w:p w:rsidR="00690604"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制定本《规定》，开展烟草制品零售点合理布局工作基于“三个有利于”考虑：</w:t>
      </w:r>
    </w:p>
    <w:p w:rsidR="00690604"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一是有利于维护国家利益。许可证制度是国家烟草专卖制度的基石，国家通过烟草专卖零售许可证实现对卷烟市场的专卖管理。</w:t>
      </w:r>
      <w:r w:rsidR="00CA7D7A" w:rsidRPr="00647DB2">
        <w:rPr>
          <w:rFonts w:ascii="仿宋_GB2312" w:eastAsia="仿宋_GB2312" w:hint="eastAsia"/>
          <w:sz w:val="32"/>
          <w:szCs w:val="32"/>
        </w:rPr>
        <w:t>零售许可证过多，必将产生恶性竞争，扰乱烟草市场正常经营秩序；零售许可证过</w:t>
      </w:r>
      <w:r w:rsidR="00CA7D7A">
        <w:rPr>
          <w:rFonts w:ascii="仿宋_GB2312" w:eastAsia="仿宋_GB2312" w:hint="eastAsia"/>
          <w:sz w:val="32"/>
          <w:szCs w:val="32"/>
        </w:rPr>
        <w:t>少</w:t>
      </w:r>
      <w:r w:rsidR="00CA7D7A" w:rsidRPr="00647DB2">
        <w:rPr>
          <w:rFonts w:ascii="仿宋_GB2312" w:eastAsia="仿宋_GB2312" w:hint="eastAsia"/>
          <w:sz w:val="32"/>
          <w:szCs w:val="32"/>
        </w:rPr>
        <w:t>，必将会导致非法卷烟乘虚而入，造成税收流失，损害国家利益。</w:t>
      </w:r>
      <w:r w:rsidRPr="005E1BBB">
        <w:rPr>
          <w:rFonts w:ascii="仿宋_GB2312" w:eastAsia="仿宋_GB2312" w:hint="eastAsia"/>
          <w:sz w:val="32"/>
          <w:szCs w:val="32"/>
        </w:rPr>
        <w:t>因此，依法开展布局工作，有利于维护卷烟市场正常经营秩序，维护国家利益。</w:t>
      </w:r>
    </w:p>
    <w:p w:rsidR="00690604"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二是有利于行政机关依法配置有限市场资源。国家对卷烟产销量实行严格的计划管理。因此，依法制定《规定》，可以使烟草专卖局从行政许可环节对卷烟零售市场资源加以控制，从而在根源上优化资源，防止失调，提高效益。</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lastRenderedPageBreak/>
        <w:t>三是有利于规范市场经济秩序，保护消费者的合法权益。在</w:t>
      </w:r>
      <w:r w:rsidR="005E1BBB">
        <w:rPr>
          <w:rFonts w:ascii="仿宋_GB2312" w:eastAsia="仿宋_GB2312" w:hint="eastAsia"/>
          <w:sz w:val="32"/>
          <w:szCs w:val="32"/>
        </w:rPr>
        <w:t>广安区</w:t>
      </w:r>
      <w:r w:rsidRPr="005E1BBB">
        <w:rPr>
          <w:rFonts w:ascii="仿宋_GB2312" w:eastAsia="仿宋_GB2312" w:hint="eastAsia"/>
          <w:sz w:val="32"/>
          <w:szCs w:val="32"/>
        </w:rPr>
        <w:t>政府的领导下，通过部门协作、综合整治，</w:t>
      </w:r>
      <w:r w:rsidR="005E1BBB">
        <w:rPr>
          <w:rFonts w:ascii="仿宋_GB2312" w:eastAsia="仿宋_GB2312" w:hint="eastAsia"/>
          <w:sz w:val="32"/>
          <w:szCs w:val="32"/>
        </w:rPr>
        <w:t>广安区</w:t>
      </w:r>
      <w:r w:rsidRPr="005E1BBB">
        <w:rPr>
          <w:rFonts w:ascii="仿宋_GB2312" w:eastAsia="仿宋_GB2312" w:hint="eastAsia"/>
          <w:sz w:val="32"/>
          <w:szCs w:val="32"/>
        </w:rPr>
        <w:t>烟草市场秩序规范程度明显好转，但市场上仍存在销售“假私非”现象，深究其因，卷烟零售户过多、分布不合理是一个重要因素。因此，制定《规定》控制市场规模，可以进一步减少卷烟零售户违法经营现象，规范卷烟市场经济秩序，切实保护消费者利益。</w:t>
      </w:r>
    </w:p>
    <w:p w:rsidR="008E33F3" w:rsidRPr="005E1BBB" w:rsidRDefault="00F74C97" w:rsidP="005E1BBB">
      <w:pPr>
        <w:ind w:firstLineChars="200" w:firstLine="640"/>
        <w:rPr>
          <w:rFonts w:ascii="黑体" w:eastAsia="黑体" w:hAnsi="黑体"/>
          <w:sz w:val="32"/>
          <w:szCs w:val="32"/>
        </w:rPr>
      </w:pPr>
      <w:r w:rsidRPr="005E1BBB">
        <w:rPr>
          <w:rFonts w:ascii="黑体" w:eastAsia="黑体" w:hAnsi="黑体" w:hint="eastAsia"/>
          <w:sz w:val="32"/>
          <w:szCs w:val="32"/>
        </w:rPr>
        <w:t>二、主要内容</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《规定》共</w:t>
      </w:r>
      <w:r w:rsidR="00690604" w:rsidRPr="005E1BBB">
        <w:rPr>
          <w:rFonts w:ascii="仿宋_GB2312" w:eastAsia="仿宋_GB2312" w:hint="eastAsia"/>
          <w:sz w:val="32"/>
          <w:szCs w:val="32"/>
        </w:rPr>
        <w:t>四</w:t>
      </w:r>
      <w:r w:rsidRPr="005E1BBB">
        <w:rPr>
          <w:rFonts w:ascii="仿宋_GB2312" w:eastAsia="仿宋_GB2312" w:hint="eastAsia"/>
          <w:sz w:val="32"/>
          <w:szCs w:val="32"/>
        </w:rPr>
        <w:t>章，十</w:t>
      </w:r>
      <w:r w:rsidR="005E1BBB">
        <w:rPr>
          <w:rFonts w:ascii="仿宋_GB2312" w:eastAsia="仿宋_GB2312" w:hint="eastAsia"/>
          <w:sz w:val="32"/>
          <w:szCs w:val="32"/>
        </w:rPr>
        <w:t>七</w:t>
      </w:r>
      <w:r w:rsidRPr="005E1BBB">
        <w:rPr>
          <w:rFonts w:ascii="仿宋_GB2312" w:eastAsia="仿宋_GB2312" w:hint="eastAsia"/>
          <w:sz w:val="32"/>
          <w:szCs w:val="32"/>
        </w:rPr>
        <w:t>条，其主要内容包括：</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第一条明确《规定》出台的意义和依据。</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第二、三、四条明确适用对象和参照因素。</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第五条明确采用的布局模式。</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第六条明确市场单元划分和测算指标。</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第七条明确公示渠道。</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第八条明确一般市场单元的布局要求。</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第九条明确特殊市场单元的布局要求。</w:t>
      </w:r>
    </w:p>
    <w:p w:rsidR="008E33F3" w:rsidRPr="005E1BBB" w:rsidRDefault="00ED156A" w:rsidP="005E1BBB">
      <w:pPr>
        <w:ind w:firstLineChars="200" w:firstLine="640"/>
        <w:rPr>
          <w:rFonts w:ascii="仿宋_GB2312" w:eastAsia="仿宋_GB2312"/>
          <w:sz w:val="32"/>
          <w:szCs w:val="32"/>
        </w:rPr>
      </w:pPr>
      <w:r>
        <w:rPr>
          <w:rFonts w:ascii="仿宋_GB2312" w:eastAsia="仿宋_GB2312" w:hint="eastAsia"/>
          <w:sz w:val="32"/>
          <w:szCs w:val="32"/>
        </w:rPr>
        <w:t>第十、十一、十二</w:t>
      </w:r>
      <w:r w:rsidR="005E1BBB">
        <w:rPr>
          <w:rFonts w:ascii="仿宋_GB2312" w:eastAsia="仿宋_GB2312" w:hint="eastAsia"/>
          <w:sz w:val="32"/>
          <w:szCs w:val="32"/>
        </w:rPr>
        <w:t>、十三</w:t>
      </w:r>
      <w:r w:rsidR="005E1BBB" w:rsidRPr="005E1BBB">
        <w:rPr>
          <w:rFonts w:ascii="仿宋_GB2312" w:eastAsia="仿宋_GB2312" w:hint="eastAsia"/>
          <w:sz w:val="32"/>
          <w:szCs w:val="32"/>
        </w:rPr>
        <w:t>条</w:t>
      </w:r>
      <w:r w:rsidR="00F74C97" w:rsidRPr="005E1BBB">
        <w:rPr>
          <w:rFonts w:ascii="仿宋_GB2312" w:eastAsia="仿宋_GB2312" w:hint="eastAsia"/>
          <w:sz w:val="32"/>
          <w:szCs w:val="32"/>
        </w:rPr>
        <w:t>明确特殊优待情形及其规范要求。</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第十</w:t>
      </w:r>
      <w:r w:rsidR="005E1BBB">
        <w:rPr>
          <w:rFonts w:ascii="仿宋_GB2312" w:eastAsia="仿宋_GB2312" w:hint="eastAsia"/>
          <w:sz w:val="32"/>
          <w:szCs w:val="32"/>
        </w:rPr>
        <w:t>四</w:t>
      </w:r>
      <w:r w:rsidRPr="005E1BBB">
        <w:rPr>
          <w:rFonts w:ascii="仿宋_GB2312" w:eastAsia="仿宋_GB2312" w:hint="eastAsia"/>
          <w:sz w:val="32"/>
          <w:szCs w:val="32"/>
        </w:rPr>
        <w:t>条明确不予设置零售点的情形。</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第十</w:t>
      </w:r>
      <w:r w:rsidR="005E1BBB">
        <w:rPr>
          <w:rFonts w:ascii="仿宋_GB2312" w:eastAsia="仿宋_GB2312" w:hint="eastAsia"/>
          <w:sz w:val="32"/>
          <w:szCs w:val="32"/>
        </w:rPr>
        <w:t>五</w:t>
      </w:r>
      <w:r w:rsidRPr="005E1BBB">
        <w:rPr>
          <w:rFonts w:ascii="仿宋_GB2312" w:eastAsia="仿宋_GB2312" w:hint="eastAsia"/>
          <w:sz w:val="32"/>
          <w:szCs w:val="32"/>
        </w:rPr>
        <w:t>条对《规定》涉及的专业术语进行解释说明。</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t>第十</w:t>
      </w:r>
      <w:r w:rsidR="005E1BBB" w:rsidRPr="005E1BBB">
        <w:rPr>
          <w:rFonts w:ascii="仿宋_GB2312" w:eastAsia="仿宋_GB2312" w:hint="eastAsia"/>
          <w:sz w:val="32"/>
          <w:szCs w:val="32"/>
        </w:rPr>
        <w:t>六</w:t>
      </w:r>
      <w:r w:rsidRPr="005E1BBB">
        <w:rPr>
          <w:rFonts w:ascii="仿宋_GB2312" w:eastAsia="仿宋_GB2312" w:hint="eastAsia"/>
          <w:sz w:val="32"/>
          <w:szCs w:val="32"/>
        </w:rPr>
        <w:t>、十</w:t>
      </w:r>
      <w:r w:rsidR="005E1BBB">
        <w:rPr>
          <w:rFonts w:ascii="仿宋_GB2312" w:eastAsia="仿宋_GB2312" w:hint="eastAsia"/>
          <w:sz w:val="32"/>
          <w:szCs w:val="32"/>
        </w:rPr>
        <w:t>七</w:t>
      </w:r>
      <w:r w:rsidRPr="005E1BBB">
        <w:rPr>
          <w:rFonts w:ascii="仿宋_GB2312" w:eastAsia="仿宋_GB2312" w:hint="eastAsia"/>
          <w:sz w:val="32"/>
          <w:szCs w:val="32"/>
        </w:rPr>
        <w:t>条明确《规定》</w:t>
      </w:r>
      <w:r w:rsidR="00690604" w:rsidRPr="005E1BBB">
        <w:rPr>
          <w:rFonts w:ascii="仿宋_GB2312" w:eastAsia="仿宋_GB2312" w:hint="eastAsia"/>
          <w:sz w:val="32"/>
          <w:szCs w:val="32"/>
        </w:rPr>
        <w:t>有效期和解释对象</w:t>
      </w:r>
      <w:r w:rsidRPr="005E1BBB">
        <w:rPr>
          <w:rFonts w:ascii="仿宋_GB2312" w:eastAsia="仿宋_GB2312" w:hint="eastAsia"/>
          <w:sz w:val="32"/>
          <w:szCs w:val="32"/>
        </w:rPr>
        <w:t>。</w:t>
      </w:r>
    </w:p>
    <w:p w:rsidR="007373E7" w:rsidRPr="005E1BBB" w:rsidRDefault="00F74C97" w:rsidP="005E1BBB">
      <w:pPr>
        <w:ind w:firstLineChars="200" w:firstLine="640"/>
        <w:rPr>
          <w:rFonts w:ascii="黑体" w:eastAsia="黑体" w:hAnsi="黑体"/>
          <w:sz w:val="32"/>
          <w:szCs w:val="32"/>
        </w:rPr>
      </w:pPr>
      <w:r w:rsidRPr="005E1BBB">
        <w:rPr>
          <w:rFonts w:ascii="黑体" w:eastAsia="黑体" w:hAnsi="黑体" w:hint="eastAsia"/>
          <w:sz w:val="32"/>
          <w:szCs w:val="32"/>
        </w:rPr>
        <w:t>三、工作建议</w:t>
      </w:r>
    </w:p>
    <w:p w:rsidR="008E33F3" w:rsidRPr="005E1BBB" w:rsidRDefault="00F74C97" w:rsidP="005E1BBB">
      <w:pPr>
        <w:ind w:firstLineChars="200" w:firstLine="640"/>
        <w:rPr>
          <w:rFonts w:ascii="仿宋_GB2312" w:eastAsia="仿宋_GB2312"/>
          <w:sz w:val="32"/>
          <w:szCs w:val="32"/>
        </w:rPr>
      </w:pPr>
      <w:r w:rsidRPr="005E1BBB">
        <w:rPr>
          <w:rFonts w:ascii="仿宋_GB2312" w:eastAsia="仿宋_GB2312" w:hint="eastAsia"/>
          <w:sz w:val="32"/>
          <w:szCs w:val="32"/>
        </w:rPr>
        <w:lastRenderedPageBreak/>
        <w:t>为进一步规范辖区烟草市场，建议规定出台后要严格按照《规定》要求，切实做好辖区烟草专卖零售许可证的发放、管理、监督等</w:t>
      </w:r>
      <w:r w:rsidR="00690604" w:rsidRPr="005E1BBB">
        <w:rPr>
          <w:rFonts w:ascii="仿宋_GB2312" w:eastAsia="仿宋_GB2312" w:hint="eastAsia"/>
          <w:sz w:val="32"/>
          <w:szCs w:val="32"/>
        </w:rPr>
        <w:t>相关工作，推动我</w:t>
      </w:r>
      <w:r w:rsidR="00AA2AF0">
        <w:rPr>
          <w:rFonts w:ascii="仿宋_GB2312" w:eastAsia="仿宋_GB2312" w:hint="eastAsia"/>
          <w:sz w:val="32"/>
          <w:szCs w:val="32"/>
        </w:rPr>
        <w:t>区</w:t>
      </w:r>
      <w:r w:rsidRPr="005E1BBB">
        <w:rPr>
          <w:rFonts w:ascii="仿宋_GB2312" w:eastAsia="仿宋_GB2312" w:hint="eastAsia"/>
          <w:sz w:val="32"/>
          <w:szCs w:val="32"/>
        </w:rPr>
        <w:t>经济发展。</w:t>
      </w:r>
    </w:p>
    <w:sectPr w:rsidR="008E33F3" w:rsidRPr="005E1BBB" w:rsidSect="00A2732D">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7A" w:rsidRDefault="00641E7A" w:rsidP="003E34B5">
      <w:r>
        <w:separator/>
      </w:r>
    </w:p>
  </w:endnote>
  <w:endnote w:type="continuationSeparator" w:id="1">
    <w:p w:rsidR="00641E7A" w:rsidRDefault="00641E7A" w:rsidP="003E3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688287"/>
      <w:docPartObj>
        <w:docPartGallery w:val="Page Numbers (Bottom of Page)"/>
        <w:docPartUnique/>
      </w:docPartObj>
    </w:sdtPr>
    <w:sdtEndPr>
      <w:rPr>
        <w:rFonts w:ascii="宋体" w:eastAsia="宋体" w:hAnsi="宋体"/>
        <w:sz w:val="24"/>
        <w:szCs w:val="24"/>
      </w:rPr>
    </w:sdtEndPr>
    <w:sdtContent>
      <w:p w:rsidR="00A2732D" w:rsidRPr="00A2732D" w:rsidRDefault="00BE45E8">
        <w:pPr>
          <w:pStyle w:val="a5"/>
        </w:pPr>
        <w:r w:rsidRPr="00A2732D">
          <w:rPr>
            <w:rFonts w:ascii="宋体" w:eastAsia="宋体" w:hAnsi="宋体"/>
            <w:sz w:val="24"/>
            <w:szCs w:val="24"/>
          </w:rPr>
          <w:fldChar w:fldCharType="begin"/>
        </w:r>
        <w:r w:rsidR="00A2732D" w:rsidRPr="00A2732D">
          <w:rPr>
            <w:rFonts w:ascii="宋体" w:eastAsia="宋体" w:hAnsi="宋体"/>
            <w:sz w:val="24"/>
            <w:szCs w:val="24"/>
          </w:rPr>
          <w:instrText>PAGE   \* MERGEFORMAT</w:instrText>
        </w:r>
        <w:r w:rsidRPr="00A2732D">
          <w:rPr>
            <w:rFonts w:ascii="宋体" w:eastAsia="宋体" w:hAnsi="宋体"/>
            <w:sz w:val="24"/>
            <w:szCs w:val="24"/>
          </w:rPr>
          <w:fldChar w:fldCharType="separate"/>
        </w:r>
        <w:r w:rsidR="00CA7D7A" w:rsidRPr="00CA7D7A">
          <w:rPr>
            <w:rFonts w:ascii="宋体" w:eastAsia="宋体" w:hAnsi="宋体"/>
            <w:noProof/>
            <w:sz w:val="24"/>
            <w:szCs w:val="24"/>
            <w:lang w:val="zh-CN"/>
          </w:rPr>
          <w:t>-</w:t>
        </w:r>
        <w:r w:rsidR="00CA7D7A">
          <w:rPr>
            <w:rFonts w:ascii="宋体" w:eastAsia="宋体" w:hAnsi="宋体"/>
            <w:noProof/>
            <w:sz w:val="24"/>
            <w:szCs w:val="24"/>
          </w:rPr>
          <w:t xml:space="preserve"> 2 -</w:t>
        </w:r>
        <w:r w:rsidRPr="00A2732D">
          <w:rPr>
            <w:rFonts w:ascii="宋体" w:eastAsia="宋体" w:hAnsi="宋体"/>
            <w:sz w:val="24"/>
            <w:szCs w:val="24"/>
          </w:rPr>
          <w:fldChar w:fldCharType="end"/>
        </w:r>
      </w:p>
    </w:sdtContent>
  </w:sdt>
  <w:p w:rsidR="00825EEA" w:rsidRDefault="00825E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33851"/>
      <w:docPartObj>
        <w:docPartGallery w:val="Page Numbers (Bottom of Page)"/>
        <w:docPartUnique/>
      </w:docPartObj>
    </w:sdtPr>
    <w:sdtEndPr>
      <w:rPr>
        <w:rFonts w:ascii="宋体" w:eastAsia="宋体" w:hAnsi="宋体"/>
        <w:sz w:val="24"/>
        <w:szCs w:val="24"/>
      </w:rPr>
    </w:sdtEndPr>
    <w:sdtContent>
      <w:p w:rsidR="00D072E2" w:rsidRPr="00D072E2" w:rsidRDefault="00BE45E8">
        <w:pPr>
          <w:pStyle w:val="a5"/>
          <w:jc w:val="right"/>
          <w:rPr>
            <w:rFonts w:ascii="宋体" w:eastAsia="宋体" w:hAnsi="宋体"/>
            <w:sz w:val="24"/>
            <w:szCs w:val="24"/>
          </w:rPr>
        </w:pPr>
        <w:r w:rsidRPr="00D072E2">
          <w:rPr>
            <w:rFonts w:ascii="宋体" w:eastAsia="宋体" w:hAnsi="宋体"/>
            <w:sz w:val="24"/>
            <w:szCs w:val="24"/>
          </w:rPr>
          <w:fldChar w:fldCharType="begin"/>
        </w:r>
        <w:r w:rsidR="00D072E2" w:rsidRPr="00D072E2">
          <w:rPr>
            <w:rFonts w:ascii="宋体" w:eastAsia="宋体" w:hAnsi="宋体"/>
            <w:sz w:val="24"/>
            <w:szCs w:val="24"/>
          </w:rPr>
          <w:instrText>PAGE   \* MERGEFORMAT</w:instrText>
        </w:r>
        <w:r w:rsidRPr="00D072E2">
          <w:rPr>
            <w:rFonts w:ascii="宋体" w:eastAsia="宋体" w:hAnsi="宋体"/>
            <w:sz w:val="24"/>
            <w:szCs w:val="24"/>
          </w:rPr>
          <w:fldChar w:fldCharType="separate"/>
        </w:r>
        <w:r w:rsidR="00CA7D7A" w:rsidRPr="00CA7D7A">
          <w:rPr>
            <w:rFonts w:ascii="宋体" w:eastAsia="宋体" w:hAnsi="宋体"/>
            <w:noProof/>
            <w:sz w:val="24"/>
            <w:szCs w:val="24"/>
            <w:lang w:val="zh-CN"/>
          </w:rPr>
          <w:t>-</w:t>
        </w:r>
        <w:r w:rsidR="00CA7D7A">
          <w:rPr>
            <w:rFonts w:ascii="宋体" w:eastAsia="宋体" w:hAnsi="宋体"/>
            <w:noProof/>
            <w:sz w:val="24"/>
            <w:szCs w:val="24"/>
          </w:rPr>
          <w:t xml:space="preserve"> 1 -</w:t>
        </w:r>
        <w:r w:rsidRPr="00D072E2">
          <w:rPr>
            <w:rFonts w:ascii="宋体" w:eastAsia="宋体" w:hAnsi="宋体"/>
            <w:sz w:val="24"/>
            <w:szCs w:val="24"/>
          </w:rPr>
          <w:fldChar w:fldCharType="end"/>
        </w:r>
      </w:p>
    </w:sdtContent>
  </w:sdt>
  <w:p w:rsidR="00CE655C" w:rsidRDefault="00CE655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7A" w:rsidRDefault="00641E7A" w:rsidP="003E34B5">
      <w:r>
        <w:separator/>
      </w:r>
    </w:p>
  </w:footnote>
  <w:footnote w:type="continuationSeparator" w:id="1">
    <w:p w:rsidR="00641E7A" w:rsidRDefault="00641E7A" w:rsidP="003E3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8E33F3"/>
    <w:rsid w:val="00182395"/>
    <w:rsid w:val="00194FC7"/>
    <w:rsid w:val="00195929"/>
    <w:rsid w:val="001A7775"/>
    <w:rsid w:val="003D1140"/>
    <w:rsid w:val="003E34B5"/>
    <w:rsid w:val="00400664"/>
    <w:rsid w:val="004149F6"/>
    <w:rsid w:val="004D1F57"/>
    <w:rsid w:val="004D76E5"/>
    <w:rsid w:val="005E1BBB"/>
    <w:rsid w:val="00641E7A"/>
    <w:rsid w:val="00690604"/>
    <w:rsid w:val="007373E7"/>
    <w:rsid w:val="00751A9E"/>
    <w:rsid w:val="00825EEA"/>
    <w:rsid w:val="00891F9B"/>
    <w:rsid w:val="008E33F3"/>
    <w:rsid w:val="009B6A5D"/>
    <w:rsid w:val="009C47CC"/>
    <w:rsid w:val="00A2732D"/>
    <w:rsid w:val="00AA2AF0"/>
    <w:rsid w:val="00AB1FEE"/>
    <w:rsid w:val="00AD7CB3"/>
    <w:rsid w:val="00BC0B22"/>
    <w:rsid w:val="00BD08A8"/>
    <w:rsid w:val="00BE45E8"/>
    <w:rsid w:val="00CA7D7A"/>
    <w:rsid w:val="00CE655C"/>
    <w:rsid w:val="00D072E2"/>
    <w:rsid w:val="00E3241D"/>
    <w:rsid w:val="00E80D9B"/>
    <w:rsid w:val="00ED156A"/>
    <w:rsid w:val="00F4579D"/>
    <w:rsid w:val="00F74C97"/>
    <w:rsid w:val="00F86E06"/>
    <w:rsid w:val="0DD60520"/>
    <w:rsid w:val="167D4675"/>
    <w:rsid w:val="244A1533"/>
    <w:rsid w:val="3D002C3B"/>
    <w:rsid w:val="56661B4F"/>
    <w:rsid w:val="6F7F1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E0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6E06"/>
    <w:pPr>
      <w:spacing w:beforeAutospacing="1" w:afterAutospacing="1"/>
      <w:jc w:val="left"/>
    </w:pPr>
    <w:rPr>
      <w:rFonts w:cs="Times New Roman"/>
      <w:kern w:val="0"/>
      <w:sz w:val="24"/>
    </w:rPr>
  </w:style>
  <w:style w:type="paragraph" w:styleId="a4">
    <w:name w:val="header"/>
    <w:basedOn w:val="a"/>
    <w:link w:val="Char"/>
    <w:rsid w:val="003E34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E34B5"/>
    <w:rPr>
      <w:rFonts w:asciiTheme="minorHAnsi" w:eastAsiaTheme="minorEastAsia" w:hAnsiTheme="minorHAnsi" w:cstheme="minorBidi"/>
      <w:kern w:val="2"/>
      <w:sz w:val="18"/>
      <w:szCs w:val="18"/>
    </w:rPr>
  </w:style>
  <w:style w:type="paragraph" w:styleId="a5">
    <w:name w:val="footer"/>
    <w:basedOn w:val="a"/>
    <w:link w:val="Char0"/>
    <w:uiPriority w:val="99"/>
    <w:qFormat/>
    <w:rsid w:val="003E34B5"/>
    <w:pPr>
      <w:tabs>
        <w:tab w:val="center" w:pos="4153"/>
        <w:tab w:val="right" w:pos="8306"/>
      </w:tabs>
      <w:snapToGrid w:val="0"/>
      <w:jc w:val="left"/>
    </w:pPr>
    <w:rPr>
      <w:sz w:val="18"/>
      <w:szCs w:val="18"/>
    </w:rPr>
  </w:style>
  <w:style w:type="character" w:customStyle="1" w:styleId="Char0">
    <w:name w:val="页脚 Char"/>
    <w:basedOn w:val="a0"/>
    <w:link w:val="a5"/>
    <w:uiPriority w:val="99"/>
    <w:rsid w:val="003E34B5"/>
    <w:rPr>
      <w:rFonts w:asciiTheme="minorHAnsi" w:eastAsiaTheme="minorEastAsia" w:hAnsiTheme="minorHAnsi" w:cstheme="minorBidi"/>
      <w:kern w:val="2"/>
      <w:sz w:val="18"/>
      <w:szCs w:val="18"/>
    </w:rPr>
  </w:style>
  <w:style w:type="character" w:styleId="a6">
    <w:name w:val="page number"/>
    <w:basedOn w:val="a0"/>
    <w:qFormat/>
    <w:rsid w:val="00CE655C"/>
  </w:style>
  <w:style w:type="paragraph" w:styleId="a7">
    <w:name w:val="Balloon Text"/>
    <w:basedOn w:val="a"/>
    <w:link w:val="Char1"/>
    <w:rsid w:val="00A2732D"/>
    <w:rPr>
      <w:sz w:val="18"/>
      <w:szCs w:val="18"/>
    </w:rPr>
  </w:style>
  <w:style w:type="character" w:customStyle="1" w:styleId="Char1">
    <w:name w:val="批注框文本 Char"/>
    <w:basedOn w:val="a0"/>
    <w:link w:val="a7"/>
    <w:rsid w:val="00A2732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3E34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E34B5"/>
    <w:rPr>
      <w:rFonts w:asciiTheme="minorHAnsi" w:eastAsiaTheme="minorEastAsia" w:hAnsiTheme="minorHAnsi" w:cstheme="minorBidi"/>
      <w:kern w:val="2"/>
      <w:sz w:val="18"/>
      <w:szCs w:val="18"/>
    </w:rPr>
  </w:style>
  <w:style w:type="paragraph" w:styleId="a5">
    <w:name w:val="footer"/>
    <w:basedOn w:val="a"/>
    <w:link w:val="Char0"/>
    <w:uiPriority w:val="99"/>
    <w:rsid w:val="003E34B5"/>
    <w:pPr>
      <w:tabs>
        <w:tab w:val="center" w:pos="4153"/>
        <w:tab w:val="right" w:pos="8306"/>
      </w:tabs>
      <w:snapToGrid w:val="0"/>
      <w:jc w:val="left"/>
    </w:pPr>
    <w:rPr>
      <w:sz w:val="18"/>
      <w:szCs w:val="18"/>
    </w:rPr>
  </w:style>
  <w:style w:type="character" w:customStyle="1" w:styleId="Char0">
    <w:name w:val="页脚 Char"/>
    <w:basedOn w:val="a0"/>
    <w:link w:val="a5"/>
    <w:uiPriority w:val="99"/>
    <w:rsid w:val="003E34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1A56-F4E5-4995-96F6-CB752CAD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171218</dc:creator>
  <cp:lastModifiedBy>NTKO</cp:lastModifiedBy>
  <cp:revision>6</cp:revision>
  <dcterms:created xsi:type="dcterms:W3CDTF">2026-01-05T04:44:00Z</dcterms:created>
  <dcterms:modified xsi:type="dcterms:W3CDTF">2026-01-06T02:08:00Z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eyJoZGlkIjoiMzVjMTQyMjhmOTZjODE3MGY2NWNkZmUzYzYxMGFjOTMiLCJ1c2VySWQiOiIxMDU1OTY5MzA5In0=</vt:lpwstr>
  </property>
  <property fmtid="{D5CDD505-2E9C-101B-9397-08002B2CF9AE}" pid="4" name="ICV">
    <vt:lpwstr>6AE653DBD88747EE903CDC861972B41D_12</vt:lpwstr>
  </property>
</Properties>
</file>