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C1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</w:t>
      </w:r>
    </w:p>
    <w:p w14:paraId="26DB3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3"/>
          <w:szCs w:val="33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3"/>
          <w:szCs w:val="33"/>
          <w:lang w:val="en-US" w:eastAsia="zh-CN"/>
        </w:rPr>
        <w:t>第二轮中央生态环境保护督察第3项</w:t>
      </w:r>
    </w:p>
    <w:p w14:paraId="3B75D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3"/>
          <w:szCs w:val="33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3"/>
          <w:szCs w:val="33"/>
          <w:lang w:val="en-US" w:eastAsia="zh-CN"/>
        </w:rPr>
        <w:t>整改任务完成情况表</w:t>
      </w:r>
    </w:p>
    <w:bookmarkEnd w:id="0"/>
    <w:p w14:paraId="7E9159B6">
      <w:pPr>
        <w:pStyle w:val="2"/>
        <w:rPr>
          <w:rFonts w:hint="eastAsia"/>
          <w:lang w:val="en-US" w:eastAsia="zh-CN"/>
        </w:rPr>
      </w:pPr>
    </w:p>
    <w:p w14:paraId="7AB1DF10">
      <w:pPr>
        <w:rPr>
          <w:rFonts w:hint="eastAsia"/>
          <w:lang w:val="en-US" w:eastAsia="zh-CN"/>
        </w:rPr>
      </w:pPr>
    </w:p>
    <w:tbl>
      <w:tblPr>
        <w:tblStyle w:val="5"/>
        <w:tblW w:w="8738" w:type="dxa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6938"/>
      </w:tblGrid>
      <w:tr w14:paraId="1AF09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800" w:type="dxa"/>
            <w:vAlign w:val="center"/>
          </w:tcPr>
          <w:p w14:paraId="68247C24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6"/>
                <w:szCs w:val="26"/>
                <w:vertAlign w:val="baseline"/>
                <w:lang w:val="en-US" w:eastAsia="zh-CN"/>
              </w:rPr>
              <w:t>整改任务</w:t>
            </w:r>
          </w:p>
        </w:tc>
        <w:tc>
          <w:tcPr>
            <w:tcW w:w="6938" w:type="dxa"/>
          </w:tcPr>
          <w:p w14:paraId="567F0E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</w:p>
          <w:p w14:paraId="3BE5B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广安市广安区第二轮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中央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生态环境保护督察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第3项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整改任务已整改完成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（对应省整改任务第61项、市整改任务第8项）：污泥处置违法问题突出。</w:t>
            </w:r>
          </w:p>
        </w:tc>
      </w:tr>
      <w:tr w14:paraId="4B6FB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800" w:type="dxa"/>
            <w:vAlign w:val="center"/>
          </w:tcPr>
          <w:p w14:paraId="3F3276A9">
            <w:pPr>
              <w:numPr>
                <w:ilvl w:val="0"/>
                <w:numId w:val="0"/>
              </w:numPr>
              <w:jc w:val="center"/>
              <w:rPr>
                <w:rFonts w:hint="default" w:ascii="方正楷体_GBK" w:hAnsi="方正楷体_GBK" w:eastAsia="方正楷体_GBK" w:cs="方正楷体_GBK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6"/>
                <w:szCs w:val="26"/>
                <w:vertAlign w:val="baseline"/>
                <w:lang w:val="en-US" w:eastAsia="zh-CN"/>
              </w:rPr>
              <w:t>整改责任单位</w:t>
            </w:r>
          </w:p>
        </w:tc>
        <w:tc>
          <w:tcPr>
            <w:tcW w:w="6938" w:type="dxa"/>
          </w:tcPr>
          <w:p w14:paraId="422B7A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</w:p>
          <w:p w14:paraId="1809D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40" w:firstLineChars="200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广安区住房和城乡建设局</w:t>
            </w:r>
          </w:p>
        </w:tc>
      </w:tr>
      <w:tr w14:paraId="74AE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800" w:type="dxa"/>
            <w:shd w:val="clear" w:color="auto" w:fill="auto"/>
            <w:vAlign w:val="center"/>
          </w:tcPr>
          <w:p w14:paraId="798E6C1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6"/>
                <w:szCs w:val="26"/>
                <w:vertAlign w:val="baseline"/>
                <w:lang w:val="en-US" w:eastAsia="zh-CN"/>
              </w:rPr>
              <w:t>整改目标</w:t>
            </w:r>
          </w:p>
        </w:tc>
        <w:tc>
          <w:tcPr>
            <w:tcW w:w="6938" w:type="dxa"/>
            <w:shd w:val="clear" w:color="auto" w:fill="auto"/>
            <w:vAlign w:val="top"/>
          </w:tcPr>
          <w:p w14:paraId="74A2E5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4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</w:p>
          <w:p w14:paraId="03D693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40" w:firstLineChars="20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认真贯彻实施《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广安市城镇生活污水处理厂（站）污泥处理处置管理办法（试行）》（广安府办规2023〔3〕号）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，规范全区污泥处置行为，杜绝污泥处置违法问题发生。</w:t>
            </w:r>
          </w:p>
        </w:tc>
      </w:tr>
      <w:tr w14:paraId="7691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</w:trPr>
        <w:tc>
          <w:tcPr>
            <w:tcW w:w="1800" w:type="dxa"/>
            <w:shd w:val="clear" w:color="auto" w:fill="auto"/>
            <w:vAlign w:val="center"/>
          </w:tcPr>
          <w:p w14:paraId="1A0E01E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6"/>
                <w:szCs w:val="26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6938" w:type="dxa"/>
            <w:shd w:val="clear" w:color="auto" w:fill="auto"/>
            <w:vAlign w:val="top"/>
          </w:tcPr>
          <w:p w14:paraId="5F486F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</w:p>
          <w:p w14:paraId="7DE578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1.2022年8月底前，对全区城镇污泥处置单位污泥处置情况进行排查，形成问题台账。</w:t>
            </w:r>
          </w:p>
          <w:p w14:paraId="29B67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 xml:space="preserve">广安区政府常务会上学习《广安市城镇生活污水处理厂（站）污泥处理处置管理办法（试行）》（广安府办规2023〔3〕号），明确部门责任，规范污泥处理处置行为，形成污泥规范处置长效工作机制。 </w:t>
            </w:r>
          </w:p>
          <w:p w14:paraId="434B68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40" w:firstLineChars="200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3.加强污泥处置全过程监管，督促污泥处置单位严格遵守转运联单制度。</w:t>
            </w:r>
          </w:p>
        </w:tc>
      </w:tr>
      <w:tr w14:paraId="0D5B3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1800" w:type="dxa"/>
            <w:shd w:val="clear" w:color="auto" w:fill="auto"/>
            <w:vAlign w:val="center"/>
          </w:tcPr>
          <w:p w14:paraId="6B0F922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方正楷体_GBK" w:hAnsi="方正楷体_GBK" w:eastAsia="方正楷体_GBK" w:cs="方正楷体_GBK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6"/>
                <w:szCs w:val="26"/>
                <w:vertAlign w:val="baseline"/>
                <w:lang w:val="en-US" w:eastAsia="zh-CN"/>
              </w:rPr>
              <w:t>整改主要工作及成效</w:t>
            </w:r>
          </w:p>
        </w:tc>
        <w:tc>
          <w:tcPr>
            <w:tcW w:w="6938" w:type="dxa"/>
            <w:shd w:val="clear" w:color="auto" w:fill="auto"/>
            <w:vAlign w:val="top"/>
          </w:tcPr>
          <w:p w14:paraId="15BB3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</w:p>
          <w:p w14:paraId="47BFE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全面开展全区建制镇污泥处理处置监管行动，对污泥处置情况进行摸排，督促广安区鸿浩水务投资有限公司建立污泥处理处置转运台账，严格落实污泥转运联单制度，规范了污泥处理处置行为。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</w:p>
          <w:p w14:paraId="780D9BF1">
            <w:pPr>
              <w:pStyle w:val="2"/>
              <w:tabs>
                <w:tab w:val="center" w:pos="4153"/>
                <w:tab w:val="right" w:pos="8306"/>
              </w:tabs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67A71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50" w:firstLineChars="1500"/>
        <w:jc w:val="both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p w14:paraId="285BB17C"/>
    <w:sectPr>
      <w:headerReference r:id="rId3" w:type="default"/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46CBC">
    <w:pPr>
      <w:pStyle w:val="3"/>
    </w:pPr>
  </w:p>
  <w:p w14:paraId="0EBE6ECA">
    <w:pPr>
      <w:pStyle w:val="3"/>
    </w:pPr>
  </w:p>
  <w:p w14:paraId="539177FF">
    <w:pPr>
      <w:pStyle w:val="3"/>
    </w:pPr>
  </w:p>
  <w:p w14:paraId="3451C635">
    <w:pPr>
      <w:pStyle w:val="3"/>
    </w:pPr>
  </w:p>
  <w:p w14:paraId="7445B11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YTUyMDliNzc2MTM1N2QxZmNhN2FiNjUxNjNkYzMifQ=="/>
  </w:docVars>
  <w:rsids>
    <w:rsidRoot w:val="0CEF7478"/>
    <w:rsid w:val="0CEF7478"/>
    <w:rsid w:val="19CA772F"/>
    <w:rsid w:val="5F5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459</Characters>
  <Lines>0</Lines>
  <Paragraphs>0</Paragraphs>
  <TotalTime>1</TotalTime>
  <ScaleCrop>false</ScaleCrop>
  <LinksUpToDate>false</LinksUpToDate>
  <CharactersWithSpaces>470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2024-10-11T08:07:00Z</dcterms:created>
  <dc:creator>Administrator</dc:creator>
  <cp:lastModifiedBy>邓岗林</cp:lastModifiedBy>
  <dcterms:modified xsi:type="dcterms:W3CDTF">2024-10-11T08:42:42Z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4472495C93D2497DB124DBC4121A7881_13</vt:lpwstr>
  </property>
</Properties>
</file>