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8441"/>
      <w:bookmarkStart w:id="3" w:name="_Toc15377425"/>
      <w:bookmarkStart w:id="4" w:name="_Toc15377193"/>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78442"/>
      <w:bookmarkStart w:id="8" w:name="_Toc15377194"/>
      <w:bookmarkStart w:id="9" w:name="_Toc15306268"/>
      <w:bookmarkStart w:id="10" w:name="_Toc15396476"/>
      <w:bookmarkStart w:id="11" w:name="_Toc15396598"/>
      <w:r>
        <w:rPr>
          <w:rFonts w:hint="eastAsia" w:ascii="方正小标宋简体" w:hAnsi="方正小标宋简体" w:eastAsia="方正小标宋简体" w:cs="方正小标宋简体"/>
          <w:color w:val="auto"/>
          <w:sz w:val="72"/>
          <w:szCs w:val="72"/>
          <w:highlight w:val="none"/>
          <w:lang w:val="en-US" w:eastAsia="zh-CN"/>
        </w:rPr>
        <w:t>中共</w:t>
      </w:r>
      <w:r>
        <w:rPr>
          <w:rFonts w:hint="eastAsia" w:ascii="方正小标宋简体" w:hAnsi="方正小标宋简体" w:eastAsia="方正小标宋简体" w:cs="方正小标宋简体"/>
          <w:color w:val="auto"/>
          <w:sz w:val="72"/>
          <w:szCs w:val="72"/>
          <w:highlight w:val="none"/>
        </w:rPr>
        <w:t>广安市广安区委</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统战部</w:t>
      </w:r>
      <w:r>
        <w:rPr>
          <w:rFonts w:eastAsia="方正小标宋简体"/>
          <w:color w:val="000000"/>
          <w:sz w:val="72"/>
          <w:szCs w:val="72"/>
        </w:rPr>
        <w:t>部门决算编制说明</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4"/>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pPr>
        <w:rPr>
          <w:color w:val="auto"/>
          <w:highlight w:val="none"/>
        </w:rPr>
      </w:pPr>
    </w:p>
    <w:p>
      <w:pPr>
        <w:pStyle w:val="14"/>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pPr>
        <w:pStyle w:val="15"/>
        <w:adjustRightInd w:val="0"/>
        <w:snapToGrid w:val="0"/>
        <w:spacing w:line="440" w:lineRule="exact"/>
        <w:jc w:val="left"/>
        <w:rPr>
          <w:rFonts w:hint="default" w:ascii="仿宋" w:hAnsi="仿宋" w:eastAsia="宋体"/>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val="en-US" w:eastAsia="zh-CN"/>
        </w:rPr>
        <w:t xml:space="preserve">                                          4</w:t>
      </w:r>
    </w:p>
    <w:p>
      <w:pPr>
        <w:pStyle w:val="15"/>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 xml:space="preserve">                                                    8</w:t>
      </w:r>
    </w:p>
    <w:p>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一、收入支出决算总体情况说明</w:t>
      </w:r>
      <w:r>
        <w:rPr>
          <w:rFonts w:hint="eastAsia"/>
          <w:color w:val="auto"/>
          <w:sz w:val="24"/>
          <w:highlight w:val="none"/>
          <w:lang w:val="en-US" w:eastAsia="zh-CN"/>
        </w:rPr>
        <w:t xml:space="preserve">                                    9</w:t>
      </w:r>
    </w:p>
    <w:p>
      <w:pPr>
        <w:pStyle w:val="15"/>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rPr>
          <w:rFonts w:hint="eastAsia"/>
          <w:color w:val="auto"/>
          <w:sz w:val="24"/>
          <w:highlight w:val="none"/>
          <w:lang w:val="en-US" w:eastAsia="zh-CN"/>
        </w:rPr>
        <w:t xml:space="preserve">                                            9</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 xml:space="preserve">                                            10</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 xml:space="preserve">                            11</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 xml:space="preserve">                        11</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 xml:space="preserve">                    15</w:t>
      </w:r>
    </w:p>
    <w:p>
      <w:pPr>
        <w:pStyle w:val="15"/>
        <w:adjustRightInd w:val="0"/>
        <w:snapToGrid w:val="0"/>
        <w:spacing w:line="440" w:lineRule="exact"/>
        <w:jc w:val="left"/>
        <w:rPr>
          <w:rFonts w:hint="eastAsia"/>
        </w:rPr>
      </w:pPr>
      <w:r>
        <w:rPr>
          <w:rFonts w:hint="eastAsia"/>
          <w:sz w:val="24"/>
          <w:lang w:eastAsia="zh-CN"/>
        </w:rPr>
        <w:t>七</w:t>
      </w:r>
      <w:r>
        <w:rPr>
          <w:rFonts w:hint="eastAsia"/>
          <w:sz w:val="24"/>
        </w:rPr>
        <w:t>、一般公共预算财政拨款</w:t>
      </w:r>
      <w:r>
        <w:rPr>
          <w:rFonts w:hint="eastAsia"/>
          <w:sz w:val="24"/>
          <w:lang w:eastAsia="zh-CN"/>
        </w:rPr>
        <w:t>项目</w:t>
      </w:r>
      <w:r>
        <w:rPr>
          <w:rFonts w:hint="eastAsia"/>
          <w:sz w:val="24"/>
        </w:rPr>
        <w:t>支出决算情况说明</w:t>
      </w:r>
      <w:r>
        <w:rPr>
          <w:rFonts w:hint="eastAsia"/>
          <w:color w:val="auto"/>
          <w:sz w:val="24"/>
          <w:highlight w:val="none"/>
          <w:lang w:val="en-US" w:eastAsia="zh-CN"/>
        </w:rPr>
        <w:t xml:space="preserve">                    16</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w:t>
      </w:r>
      <w:r>
        <w:rPr>
          <w:rFonts w:hint="eastAsia"/>
          <w:color w:val="auto"/>
          <w:sz w:val="24"/>
          <w:highlight w:val="none"/>
          <w:lang w:eastAsia="zh-CN"/>
        </w:rPr>
        <w:t>财政拨款“三公”经费支出决算情况说明</w:t>
      </w:r>
      <w:r>
        <w:rPr>
          <w:rFonts w:hint="eastAsia"/>
          <w:color w:val="auto"/>
          <w:sz w:val="24"/>
          <w:highlight w:val="none"/>
          <w:lang w:val="en-US" w:eastAsia="zh-CN"/>
        </w:rPr>
        <w:t xml:space="preserve">                        17</w:t>
      </w:r>
    </w:p>
    <w:p>
      <w:pPr>
        <w:pStyle w:val="15"/>
        <w:adjustRightInd w:val="0"/>
        <w:snapToGrid w:val="0"/>
        <w:spacing w:line="440" w:lineRule="exact"/>
        <w:jc w:val="left"/>
        <w:rPr>
          <w:rFonts w:hint="default" w:ascii="仿宋" w:hAnsi="仿宋" w:eastAsia="仿宋" w:cstheme="minorBidi"/>
          <w:color w:val="auto"/>
          <w:sz w:val="24"/>
          <w:highlight w:val="none"/>
          <w:lang w:val="en-US"/>
        </w:rPr>
      </w:pPr>
      <w:r>
        <w:rPr>
          <w:rFonts w:hint="eastAsia" w:asciiTheme="minorEastAsia" w:hAnsiTheme="minorEastAsia" w:eastAsiaTheme="minorEastAsia" w:cstheme="minorEastAsia"/>
          <w:color w:val="auto"/>
          <w:sz w:val="24"/>
          <w:highlight w:val="none"/>
        </w:rPr>
        <w:t>九</w:t>
      </w:r>
      <w:r>
        <w:rPr>
          <w:rFonts w:hint="eastAsia"/>
          <w:color w:val="auto"/>
          <w:sz w:val="24"/>
          <w:highlight w:val="none"/>
        </w:rPr>
        <w:t>、政府性基金预算支出决算情况说明</w:t>
      </w:r>
      <w:r>
        <w:rPr>
          <w:rFonts w:hint="eastAsia"/>
          <w:color w:val="auto"/>
          <w:sz w:val="24"/>
          <w:highlight w:val="none"/>
          <w:lang w:val="en-US" w:eastAsia="zh-CN"/>
        </w:rPr>
        <w:t xml:space="preserve">                              18</w:t>
      </w:r>
    </w:p>
    <w:p>
      <w:pPr>
        <w:pStyle w:val="15"/>
        <w:adjustRightInd w:val="0"/>
        <w:snapToGrid w:val="0"/>
        <w:spacing w:line="440" w:lineRule="exact"/>
        <w:ind w:leftChars="0"/>
        <w:jc w:val="left"/>
        <w:rPr>
          <w:rFonts w:hint="eastAsia" w:asciiTheme="minorEastAsia" w:hAnsiTheme="minorEastAsia" w:eastAsiaTheme="minorEastAsia" w:cstheme="minorEastAsia"/>
          <w:color w:val="auto"/>
          <w:sz w:val="24"/>
          <w:highlight w:val="none"/>
        </w:rPr>
      </w:pPr>
      <w:r>
        <w:rPr>
          <w:rStyle w:val="21"/>
          <w:rFonts w:hint="eastAsia" w:asciiTheme="minorEastAsia" w:hAnsiTheme="minorEastAsia" w:eastAsiaTheme="minorEastAsia" w:cstheme="minorEastAsia"/>
          <w:color w:val="auto"/>
          <w:sz w:val="24"/>
          <w:highlight w:val="none"/>
          <w:u w:val="none"/>
          <w:lang w:eastAsia="zh-CN"/>
        </w:rPr>
        <w:t>十</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color w:val="auto"/>
          <w:sz w:val="24"/>
          <w:highlight w:val="none"/>
          <w:lang w:val="en-US" w:eastAsia="zh-CN"/>
        </w:rPr>
        <w:t xml:space="preserve">                            18</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rPr>
      </w:pPr>
      <w:r>
        <w:rPr>
          <w:rStyle w:val="21"/>
          <w:rFonts w:hint="eastAsia" w:asciiTheme="minorEastAsia" w:hAnsiTheme="minorEastAsia" w:eastAsiaTheme="minorEastAsia" w:cstheme="minorEastAsia"/>
          <w:color w:val="auto"/>
          <w:sz w:val="24"/>
          <w:highlight w:val="none"/>
          <w:u w:val="none"/>
          <w:lang w:val="en-US" w:eastAsia="zh-CN"/>
        </w:rPr>
        <w:t>十一</w:t>
      </w:r>
      <w:r>
        <w:rPr>
          <w:rStyle w:val="21"/>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color w:val="auto"/>
          <w:sz w:val="24"/>
          <w:highlight w:val="none"/>
          <w:lang w:val="en-US" w:eastAsia="zh-CN"/>
        </w:rPr>
        <w:t xml:space="preserve">                                    18</w:t>
      </w:r>
    </w:p>
    <w:p>
      <w:pPr>
        <w:pStyle w:val="14"/>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21</w:t>
      </w:r>
    </w:p>
    <w:p>
      <w:pPr>
        <w:pStyle w:val="14"/>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 xml:space="preserve"> 24</w:t>
      </w:r>
    </w:p>
    <w:p>
      <w:pPr>
        <w:pStyle w:val="14"/>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 xml:space="preserve">                                                      </w:t>
      </w:r>
      <w:r>
        <w:rPr>
          <w:rFonts w:hint="eastAsia" w:ascii="Times New Roman" w:hAnsi="Times New Roman" w:eastAsia="宋体" w:cs="Times New Roman"/>
          <w:color w:val="auto"/>
          <w:kern w:val="2"/>
          <w:sz w:val="24"/>
          <w:szCs w:val="24"/>
          <w:highlight w:val="none"/>
          <w:lang w:val="en-US" w:eastAsia="zh-CN" w:bidi="ar-SA"/>
        </w:rPr>
        <w:t>40</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一、收入支出决算总表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二、收入决算表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三、支出决算表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四、财政拨款收入支出决算总表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五、财政拨款支出决算明细表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六、一般公共预算财政拨款支出决算表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七、一般公共预算财政拨款支出决算明细表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八、一般公共预算财政拨款基本支出决算明细表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九、一般公共预算财政拨款项目支出决算表</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十、政府性基金预算财政拨款收入支出决算表（</w:t>
      </w:r>
      <w:r>
        <w:rPr>
          <w:rFonts w:hint="eastAsia" w:asciiTheme="minorEastAsia" w:hAnsiTheme="minorEastAsia" w:eastAsiaTheme="minorEastAsia" w:cstheme="minorEastAsia"/>
          <w:color w:val="auto"/>
          <w:sz w:val="24"/>
          <w:highlight w:val="none"/>
          <w:lang w:val="en-US" w:eastAsia="zh-CN"/>
        </w:rPr>
        <w:t>此表无数据</w:t>
      </w:r>
      <w:r>
        <w:rPr>
          <w:rFonts w:hint="eastAsia" w:asciiTheme="minorEastAsia" w:hAnsiTheme="minorEastAsia" w:eastAsiaTheme="minorEastAsia" w:cstheme="minorEastAsia"/>
          <w:color w:val="auto"/>
          <w:sz w:val="24"/>
          <w:highlight w:val="none"/>
          <w:lang w:eastAsia="zh-CN"/>
        </w:rPr>
        <w:t>）</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十一、国有资本经营预算财政拨款收入支出决算表（</w:t>
      </w:r>
      <w:r>
        <w:rPr>
          <w:rFonts w:hint="eastAsia" w:asciiTheme="minorEastAsia" w:hAnsiTheme="minorEastAsia" w:eastAsiaTheme="minorEastAsia" w:cstheme="minorEastAsia"/>
          <w:color w:val="auto"/>
          <w:sz w:val="24"/>
          <w:highlight w:val="none"/>
          <w:lang w:val="en-US" w:eastAsia="zh-CN"/>
        </w:rPr>
        <w:t>此表无数据</w:t>
      </w:r>
      <w:r>
        <w:rPr>
          <w:rFonts w:hint="eastAsia" w:asciiTheme="minorEastAsia" w:hAnsiTheme="minorEastAsia" w:eastAsiaTheme="minorEastAsia" w:cstheme="minorEastAsia"/>
          <w:color w:val="auto"/>
          <w:sz w:val="24"/>
          <w:highlight w:val="none"/>
          <w:lang w:eastAsia="zh-CN"/>
        </w:rPr>
        <w:t>）</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十二、国有资本经营预算财政拨款支出决算表（</w:t>
      </w:r>
      <w:r>
        <w:rPr>
          <w:rFonts w:hint="eastAsia" w:asciiTheme="minorEastAsia" w:hAnsiTheme="minorEastAsia" w:eastAsiaTheme="minorEastAsia" w:cstheme="minorEastAsia"/>
          <w:color w:val="auto"/>
          <w:sz w:val="24"/>
          <w:highlight w:val="none"/>
          <w:lang w:val="en-US" w:eastAsia="zh-CN"/>
        </w:rPr>
        <w:t>此表无数据</w:t>
      </w:r>
      <w:r>
        <w:rPr>
          <w:rFonts w:hint="eastAsia" w:asciiTheme="minorEastAsia" w:hAnsiTheme="minorEastAsia" w:eastAsiaTheme="minorEastAsia" w:cstheme="minorEastAsia"/>
          <w:color w:val="auto"/>
          <w:sz w:val="24"/>
          <w:highlight w:val="none"/>
          <w:lang w:eastAsia="zh-CN"/>
        </w:rPr>
        <w:t>）</w:t>
      </w:r>
    </w:p>
    <w:p>
      <w:pPr>
        <w:pStyle w:val="15"/>
        <w:adjustRightInd w:val="0"/>
        <w:snapToGrid w:val="0"/>
        <w:spacing w:line="440" w:lineRule="exact"/>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十三、财政拨款“三公”经费支出决算表</w:t>
      </w:r>
    </w:p>
    <w:p>
      <w:pPr>
        <w:widowControl/>
        <w:adjustRightInd w:val="0"/>
        <w:snapToGrid w:val="0"/>
        <w:spacing w:line="440" w:lineRule="exact"/>
        <w:ind w:firstLine="1320" w:firstLineChars="550"/>
        <w:jc w:val="left"/>
        <w:rPr>
          <w:rFonts w:ascii="仿宋" w:hAnsi="仿宋" w:eastAsia="仿宋"/>
          <w:color w:val="auto"/>
          <w:sz w:val="24"/>
          <w:highlight w:val="none"/>
        </w:rPr>
      </w:pP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2"/>
      <w:bookmarkEnd w:id="13"/>
    </w:p>
    <w:p>
      <w:pPr>
        <w:pStyle w:val="5"/>
        <w:pageBreakBefore w:val="0"/>
        <w:kinsoku/>
        <w:wordWrap/>
        <w:overflowPunct/>
        <w:topLinePunct w:val="0"/>
        <w:autoSpaceDE/>
        <w:autoSpaceDN/>
        <w:bidi w:val="0"/>
        <w:spacing w:before="0" w:after="0" w:line="590" w:lineRule="exact"/>
        <w:ind w:left="0" w:right="0" w:firstLine="660" w:firstLineChars="200"/>
        <w:textAlignment w:val="auto"/>
        <w:rPr>
          <w:rStyle w:val="32"/>
          <w:rFonts w:hint="eastAsia" w:ascii="方正黑体_GBK" w:hAnsi="方正黑体_GBK" w:eastAsia="方正黑体_GBK" w:cs="方正黑体_GBK"/>
          <w:b w:val="0"/>
          <w:bCs w:val="0"/>
          <w:color w:val="auto"/>
          <w:sz w:val="33"/>
          <w:szCs w:val="33"/>
          <w:highlight w:val="none"/>
        </w:rPr>
      </w:pPr>
      <w:bookmarkStart w:id="14" w:name="_Toc15396600"/>
      <w:bookmarkStart w:id="15" w:name="_Toc15377197"/>
      <w:r>
        <w:rPr>
          <w:rFonts w:hint="eastAsia" w:ascii="方正黑体_GBK" w:hAnsi="方正黑体_GBK" w:eastAsia="方正黑体_GBK" w:cs="方正黑体_GBK"/>
          <w:b w:val="0"/>
          <w:color w:val="auto"/>
          <w:sz w:val="33"/>
          <w:szCs w:val="33"/>
          <w:highlight w:val="none"/>
        </w:rPr>
        <w:t>一、基</w:t>
      </w:r>
      <w:r>
        <w:rPr>
          <w:rStyle w:val="32"/>
          <w:rFonts w:hint="eastAsia" w:ascii="方正黑体_GBK" w:hAnsi="方正黑体_GBK" w:eastAsia="方正黑体_GBK" w:cs="方正黑体_GBK"/>
          <w:b w:val="0"/>
          <w:bCs w:val="0"/>
          <w:color w:val="auto"/>
          <w:sz w:val="33"/>
          <w:szCs w:val="33"/>
          <w:highlight w:val="none"/>
        </w:rPr>
        <w:t>本职能及主要工作</w:t>
      </w:r>
      <w:bookmarkEnd w:id="14"/>
      <w:bookmarkEnd w:id="15"/>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eastAsia" w:ascii="方正楷体_GBK" w:hAnsi="方正楷体_GBK" w:eastAsia="方正楷体_GBK" w:cs="方正楷体_GBK"/>
          <w:color w:val="auto"/>
          <w:kern w:val="2"/>
          <w:sz w:val="33"/>
          <w:szCs w:val="33"/>
          <w:highlight w:val="none"/>
          <w:lang w:val="en-US" w:eastAsia="zh-CN" w:bidi="ar-SA"/>
        </w:rPr>
      </w:pPr>
      <w:bookmarkStart w:id="16" w:name="_Toc15378445"/>
      <w:bookmarkStart w:id="17" w:name="_Toc15377198"/>
      <w:r>
        <w:rPr>
          <w:rFonts w:hint="eastAsia" w:ascii="方正楷体_GBK" w:hAnsi="方正楷体_GBK" w:eastAsia="方正楷体_GBK" w:cs="方正楷体_GBK"/>
          <w:color w:val="auto"/>
          <w:kern w:val="2"/>
          <w:sz w:val="33"/>
          <w:szCs w:val="33"/>
          <w:highlight w:val="none"/>
          <w:lang w:val="en-US" w:eastAsia="zh-CN" w:bidi="ar-SA"/>
        </w:rPr>
        <w:t>（一）基本职能</w:t>
      </w:r>
      <w:bookmarkEnd w:id="16"/>
      <w:bookmarkEnd w:id="17"/>
      <w:bookmarkStart w:id="18" w:name="_Toc15378446"/>
      <w:bookmarkStart w:id="19" w:name="_Toc15377199"/>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1.宣传、贯彻执行中央、省、市、区委统一战线的方针政策；协调、监督、检查全区统一战线工作；调查研究统一战线的理论政策；向区委反映统一战线全面情况，提出开展统战工作的意见和建议。</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2.负责联系全区各民主党派和无党派人士，及时通报情况，了解和反映他们的意见和建议；贯彻落实党领导下的多党合作和政治协商制度以及对民主党派的方针、政策，做好其代表人物的工作。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3.贯彻党的民族、宗教政策，检查民族宗教方针、政策的执行情况；调查和及时处理民族、宗教方面的新情况、新问题；协调民族宗教工作关系；联系少数民族和宗教界的代表人物，协助有关部门做好少数民族干部的培养和举荐工作；负责牵头协调有关部门对国外敌对势力分裂祖国活动的斗争。</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4.负责开展以祖国统一为重点的海外统战工作；联系香港、澳门和海外有关社团及代表人士；做好侨、台胞和其家属的有关工作。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5.负责党外人士的政治安排，做好区人大党外代表、区政协委员的安排工作；会同有关部门做好培养、考察选拔、推荐安排党外人士担任政府和司法机关领导职务工作；做好党外后备干部和新的代表人物队伍的建设工作；受区委委托，领导区工商联党组、指导区工商联工作；协助工商联、民主党派组织做好干部管理工作；指导有关统战团体和人民团体（含台湾同胞联谊会）的统战工作；协助区委组织部做好区级统战系统市级管理干部的推荐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6.负责联系海外工商界社团和代表人士。调查研究并反映我区非公有制经济代表人士的情况，协调关系，提出政策性建议；团结、帮助、引导、教育非公有制经济代表人士，积极开展思想政治工作。组织和推动各民主党派、工商联及统一战线各个方面积极为经济建设服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7.调查研究我区党外知识分子情况，反映意见，协调关系，提出政策建议；联系并培养推荐、安排使用党外知识分子代表人物。</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8.负责开展海内外统一战线的宣传工作。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line="590" w:lineRule="exact"/>
        <w:ind w:left="0" w:right="0" w:firstLine="660" w:firstLineChars="200"/>
        <w:textAlignment w:val="auto"/>
        <w:outlineLvl w:val="2"/>
        <w:rPr>
          <w:rFonts w:hint="default" w:ascii="Times New Roman" w:hAnsi="Times New Roman" w:eastAsia="仿宋"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9.负责指导乡镇、街道的统战、民族宗教工作；组织统战系统干部的培训工作；协调政府有关部门的统战工作。</w:t>
      </w:r>
    </w:p>
    <w:p>
      <w:pPr>
        <w:pStyle w:val="8"/>
        <w:pageBreakBefore w:val="0"/>
        <w:kinsoku/>
        <w:wordWrap/>
        <w:overflowPunct/>
        <w:topLinePunct w:val="0"/>
        <w:autoSpaceDE/>
        <w:autoSpaceDN/>
        <w:bidi w:val="0"/>
        <w:adjustRightInd w:val="0"/>
        <w:snapToGrid w:val="0"/>
        <w:spacing w:beforeLines="0" w:line="590" w:lineRule="exact"/>
        <w:ind w:left="0" w:right="0" w:firstLine="693" w:firstLineChars="210"/>
        <w:textAlignment w:val="auto"/>
        <w:outlineLvl w:val="2"/>
        <w:rPr>
          <w:rFonts w:hint="eastAsia" w:ascii="方正楷体_GBK" w:hAnsi="方正楷体_GBK" w:eastAsia="方正楷体_GBK" w:cs="方正楷体_GBK"/>
          <w:bCs/>
          <w:color w:val="auto"/>
          <w:sz w:val="33"/>
          <w:szCs w:val="33"/>
          <w:highlight w:val="none"/>
        </w:rPr>
      </w:pPr>
      <w:r>
        <w:rPr>
          <w:rFonts w:hint="eastAsia" w:ascii="方正楷体_GBK" w:hAnsi="方正楷体_GBK" w:eastAsia="方正楷体_GBK" w:cs="方正楷体_GBK"/>
          <w:bCs/>
          <w:color w:val="auto"/>
          <w:sz w:val="33"/>
          <w:szCs w:val="33"/>
          <w:highlight w:val="none"/>
        </w:rPr>
        <w:t>（二）20</w:t>
      </w:r>
      <w:r>
        <w:rPr>
          <w:rFonts w:hint="eastAsia" w:ascii="方正楷体_GBK" w:hAnsi="方正楷体_GBK" w:eastAsia="方正楷体_GBK" w:cs="方正楷体_GBK"/>
          <w:bCs/>
          <w:color w:val="auto"/>
          <w:sz w:val="33"/>
          <w:szCs w:val="33"/>
          <w:highlight w:val="none"/>
          <w:lang w:val="en-US" w:eastAsia="zh-CN"/>
        </w:rPr>
        <w:t>22</w:t>
      </w:r>
      <w:r>
        <w:rPr>
          <w:rFonts w:hint="eastAsia" w:ascii="方正楷体_GBK" w:hAnsi="方正楷体_GBK" w:eastAsia="方正楷体_GBK" w:cs="方正楷体_GBK"/>
          <w:bCs/>
          <w:color w:val="auto"/>
          <w:sz w:val="33"/>
          <w:szCs w:val="33"/>
          <w:highlight w:val="none"/>
        </w:rPr>
        <w:t>年重点工作完成情况</w:t>
      </w:r>
      <w:bookmarkEnd w:id="18"/>
      <w:bookmarkEnd w:id="19"/>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1.</w:t>
      </w:r>
      <w:r>
        <w:rPr>
          <w:rFonts w:hint="default" w:ascii="Times New Roman" w:hAnsi="Times New Roman" w:eastAsia="方正仿宋_GBK" w:cs="Times New Roman"/>
          <w:b w:val="0"/>
          <w:bCs w:val="0"/>
          <w:color w:val="auto"/>
          <w:kern w:val="2"/>
          <w:sz w:val="33"/>
          <w:szCs w:val="33"/>
          <w:highlight w:val="none"/>
          <w:lang w:val="en-US" w:eastAsia="zh-CN" w:bidi="ar-SA"/>
        </w:rPr>
        <w:t>学习贯彻统一战线理论方针政策。一是广泛开展学习培训活动。向党外人士通报中共二十大精神，在全区统一战线迅速掀起学习贯彻党的二十大精神热潮，切实把思想和行动统一到党的二十大精神上来。召开2022年统战干部能力提升培训班，组织区级各民主党派、统战团体开展专题学习活动，共计召开专题学习12次、培训会5次。二是保证决策部署落到实处。组织召开区委民族工作会议暨全区宗教工作等会议，印发《广安区2022年统一战线工作要点》等文件，确保中央、省委和市委各项决策部署落到实处。</w:t>
      </w:r>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2.</w:t>
      </w:r>
      <w:r>
        <w:rPr>
          <w:rFonts w:hint="default" w:ascii="Times New Roman" w:hAnsi="Times New Roman" w:eastAsia="方正仿宋_GBK" w:cs="Times New Roman"/>
          <w:b w:val="0"/>
          <w:bCs w:val="0"/>
          <w:color w:val="auto"/>
          <w:kern w:val="2"/>
          <w:sz w:val="33"/>
          <w:szCs w:val="33"/>
          <w:highlight w:val="none"/>
          <w:lang w:val="en-US" w:eastAsia="zh-CN" w:bidi="ar-SA"/>
        </w:rPr>
        <w:t>凝聚统战力量助力疫情防控。一是迅速安排部署。安排部署统一战线力量积极参与疫情防控工作，共计800余人次。二是强化宣传引导。号召广大统一战线成员宣传疫情防控公告、政策知识等。通过制定《广安区春节期间宗教领域新冠肺炎疫情防控工作方案》等常态化开展宗教领域疫情防控工作。三是捐款捐物助力疫情防控。广泛动员全区统战团体捐款捐物，累计101余万元，为疫情防控工作贡献统战力量。</w:t>
      </w:r>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3.</w:t>
      </w:r>
      <w:r>
        <w:rPr>
          <w:rFonts w:hint="default" w:ascii="Times New Roman" w:hAnsi="Times New Roman" w:eastAsia="方正仿宋_GBK" w:cs="Times New Roman"/>
          <w:b w:val="0"/>
          <w:bCs w:val="0"/>
          <w:color w:val="auto"/>
          <w:kern w:val="2"/>
          <w:sz w:val="33"/>
          <w:szCs w:val="33"/>
          <w:highlight w:val="none"/>
          <w:lang w:val="en-US" w:eastAsia="zh-CN" w:bidi="ar-SA"/>
        </w:rPr>
        <w:t>推动多党合作事业蓬勃发展。一是支持民主党派参政议政。印发并落实《2022年度政党协商（会议协商）计划》，引导各民主党派深入调查研究6次，提出高质量意见建议45条，社情民意信息40余条。印发《“我为广安产业发展献良策”活动实施方案》等方案，充分发挥各民主党派自身优势。二是加强民主党派成员思想政治教育，民盟赴贵州遵义红色教育基地开展政治交接主题教育活动等，通过主题教育、座谈交流会等形式，提升民主党派成员思想政治素质。</w:t>
      </w:r>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4.</w:t>
      </w:r>
      <w:r>
        <w:rPr>
          <w:rFonts w:hint="default" w:ascii="Times New Roman" w:hAnsi="Times New Roman" w:eastAsia="方正仿宋_GBK" w:cs="Times New Roman"/>
          <w:b w:val="0"/>
          <w:bCs w:val="0"/>
          <w:color w:val="auto"/>
          <w:kern w:val="2"/>
          <w:sz w:val="33"/>
          <w:szCs w:val="33"/>
          <w:highlight w:val="none"/>
          <w:lang w:val="en-US" w:eastAsia="zh-CN" w:bidi="ar-SA"/>
        </w:rPr>
        <w:t>持续推进港澳侨台工作。一是加强思想政治引领，组织侨台界人士学习党的二十大精神，凝聚广大侨胞共识。二是加强联系，开展中秋走访慰问等活动，共慰问归侨侨眷25人，发放慰问金及物质2万元。三是做好服务，为3名“三侨生”办理高考加分手续。推动广安企业走出去，广安市农丰农业开发有限责任公司被授予“川台融合发展突出贡献台资企业”。祖籍广安区的台籍同胞蒋小萌被授予“川台交流融合突出贡献台湾同胞”荣誉称号。</w:t>
      </w:r>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5.</w:t>
      </w:r>
      <w:r>
        <w:rPr>
          <w:rFonts w:hint="default" w:ascii="Times New Roman" w:hAnsi="Times New Roman" w:eastAsia="方正仿宋_GBK" w:cs="Times New Roman"/>
          <w:b w:val="0"/>
          <w:bCs w:val="0"/>
          <w:color w:val="auto"/>
          <w:kern w:val="2"/>
          <w:sz w:val="33"/>
          <w:szCs w:val="33"/>
          <w:highlight w:val="none"/>
          <w:lang w:val="en-US" w:eastAsia="zh-CN" w:bidi="ar-SA"/>
        </w:rPr>
        <w:t>促进民族宗教领域和谐稳定。一是切实加强理论政策宣传教育工作。深入开展“爱党爱国爱社会主义”等主题教育活动，开展铸牢中华民族共同体意识学习等，培训学员1800余人次。二是扎实做好宗教工作。确保宗教活动场所安全，印发安全生产、应急疏散预案等文件，传达学习食品安全相关会议精神，召开消防、禁毒等专题会议12次。定期到宗教活动场所进行安全检查，查出安全隐患问题全部整改完毕。三是努力做好民族工作。积极解答和解决民族身份确认等疑问和手续，帮助我区新疆籍人员子女入学4人。做好民族团结进步示范带提档升级项目—广安民族团结主题公园的规划建设。</w:t>
      </w:r>
    </w:p>
    <w:p>
      <w:pPr>
        <w:pStyle w:val="8"/>
        <w:pageBreakBefore w:val="0"/>
        <w:numPr>
          <w:ilvl w:val="0"/>
          <w:numId w:val="0"/>
        </w:numPr>
        <w:kinsoku/>
        <w:wordWrap/>
        <w:overflowPunct/>
        <w:topLinePunct w:val="0"/>
        <w:autoSpaceDE/>
        <w:autoSpaceDN/>
        <w:bidi w:val="0"/>
        <w:adjustRightInd w:val="0"/>
        <w:snapToGrid w:val="0"/>
        <w:spacing w:beforeLines="0" w:line="590" w:lineRule="exact"/>
        <w:ind w:right="0" w:rightChars="0" w:firstLine="660" w:firstLineChars="200"/>
        <w:textAlignment w:val="auto"/>
        <w:outlineLvl w:val="2"/>
        <w:rPr>
          <w:rFonts w:hint="default" w:ascii="Times New Roman" w:hAnsi="Times New Roman" w:eastAsia="方正仿宋_GBK" w:cs="Times New Roman"/>
          <w:b w:val="0"/>
          <w:bCs w:val="0"/>
          <w:color w:val="auto"/>
          <w:kern w:val="2"/>
          <w:sz w:val="33"/>
          <w:szCs w:val="33"/>
          <w:highlight w:val="none"/>
          <w:lang w:val="en-US" w:eastAsia="zh-CN" w:bidi="ar-SA"/>
        </w:rPr>
      </w:pPr>
      <w:r>
        <w:rPr>
          <w:rFonts w:hint="eastAsia" w:ascii="Times New Roman" w:eastAsia="方正仿宋_GBK" w:cs="Times New Roman"/>
          <w:b w:val="0"/>
          <w:bCs w:val="0"/>
          <w:color w:val="auto"/>
          <w:kern w:val="2"/>
          <w:sz w:val="33"/>
          <w:szCs w:val="33"/>
          <w:highlight w:val="none"/>
          <w:lang w:val="en-US" w:eastAsia="zh-CN" w:bidi="ar-SA"/>
        </w:rPr>
        <w:t>6</w:t>
      </w:r>
      <w:r>
        <w:rPr>
          <w:rFonts w:hint="default" w:ascii="Times New Roman" w:hAnsi="Times New Roman" w:eastAsia="方正仿宋_GBK" w:cs="Times New Roman"/>
          <w:b w:val="0"/>
          <w:bCs w:val="0"/>
          <w:color w:val="auto"/>
          <w:kern w:val="2"/>
          <w:sz w:val="33"/>
          <w:szCs w:val="33"/>
          <w:highlight w:val="none"/>
          <w:lang w:val="en-US" w:eastAsia="zh-CN" w:bidi="ar-SA"/>
        </w:rPr>
        <w:t>.加强党外知识分子和新的社会阶层人士统战工作。一是进一步完善党外知识分子数据库，推荐3名区知联会成员加入广安市党外知识分子联谊会。推进无党派人士认定工作，认定32名优秀党外人才为“无党派人士”，支持其发挥积极作用。二是支持区新联会工作有序开展。调整新联会理事会及班子成员，成立新媒体网络人士分会。开展红色主题教育活动、公益活动等共计10次。与大龙镇战斗村签订结对帮扶协议，累计受益400余人次，助农增收10余万元。区新联会“同心·法律”服务团团长陈素芳律师荣获川渝首届“巴山律师论坛”优秀论文奖。</w:t>
      </w:r>
    </w:p>
    <w:p>
      <w:pPr>
        <w:pStyle w:val="5"/>
        <w:ind w:firstLine="640" w:firstLineChars="200"/>
        <w:rPr>
          <w:rStyle w:val="32"/>
          <w:b w:val="0"/>
          <w:bCs w:val="0"/>
          <w:color w:val="auto"/>
          <w:highlight w:val="none"/>
        </w:rPr>
      </w:pPr>
      <w:bookmarkStart w:id="20" w:name="_Toc15396601"/>
      <w:bookmarkStart w:id="21"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0"/>
      <w:bookmarkEnd w:id="21"/>
    </w:p>
    <w:p>
      <w:pPr>
        <w:keepNext w:val="0"/>
        <w:keepLines w:val="0"/>
        <w:pageBreakBefore w:val="0"/>
        <w:kinsoku/>
        <w:wordWrap/>
        <w:overflowPunct/>
        <w:topLinePunct w:val="0"/>
        <w:autoSpaceDE/>
        <w:autoSpaceDN/>
        <w:bidi w:val="0"/>
        <w:spacing w:line="590" w:lineRule="exact"/>
        <w:ind w:firstLine="825" w:firstLineChars="25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区委统战部下属二级单位1个，其中行政单位0个，参照《中华人民共和国公务员法》管理的事业单位0个，其他事业单位1个。区委统战部代管区侨联。</w:t>
      </w:r>
    </w:p>
    <w:p>
      <w:pPr>
        <w:pStyle w:val="8"/>
        <w:keepNext w:val="0"/>
        <w:keepLines w:val="0"/>
        <w:pageBreakBefore w:val="0"/>
        <w:kinsoku/>
        <w:wordWrap/>
        <w:overflowPunct/>
        <w:topLinePunct w:val="0"/>
        <w:autoSpaceDE/>
        <w:autoSpaceDN/>
        <w:bidi w:val="0"/>
        <w:adjustRightInd w:val="0"/>
        <w:snapToGrid w:val="0"/>
        <w:spacing w:beforeLines="0" w:line="590" w:lineRule="exact"/>
        <w:ind w:firstLine="693" w:firstLineChars="21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纳入区委统战部2022年度部门决算编制范围的二级预算单位包括：</w:t>
      </w:r>
    </w:p>
    <w:p>
      <w:pPr>
        <w:keepNext w:val="0"/>
        <w:keepLines w:val="0"/>
        <w:pageBreakBefore w:val="0"/>
        <w:widowControl/>
        <w:kinsoku/>
        <w:wordWrap/>
        <w:overflowPunct/>
        <w:topLinePunct w:val="0"/>
        <w:autoSpaceDE/>
        <w:autoSpaceDN/>
        <w:bidi w:val="0"/>
        <w:spacing w:line="590" w:lineRule="exact"/>
        <w:ind w:firstLine="660" w:firstLineChars="200"/>
        <w:jc w:val="left"/>
        <w:textAlignment w:val="auto"/>
        <w:rPr>
          <w:rFonts w:hint="default" w:ascii="Times New Roman" w:hAnsi="Times New Roman" w:eastAsia="方正仿宋_GBK" w:cs="Times New Roman"/>
          <w:color w:val="auto"/>
          <w:kern w:val="2"/>
          <w:sz w:val="33"/>
          <w:szCs w:val="33"/>
          <w:highlight w:val="none"/>
          <w:lang w:val="en-US" w:eastAsia="zh-CN" w:bidi="ar-SA"/>
        </w:rPr>
      </w:pPr>
      <w:bookmarkStart w:id="22" w:name="_Toc15378449"/>
      <w:bookmarkStart w:id="23" w:name="_Toc15377202"/>
      <w:bookmarkStart w:id="24" w:name="_Toc15377433"/>
      <w:bookmarkStart w:id="25" w:name="_Toc15306276"/>
      <w:r>
        <w:rPr>
          <w:rFonts w:hint="eastAsia" w:ascii="Times New Roman" w:hAnsi="Times New Roman" w:eastAsia="方正仿宋_GBK" w:cs="Times New Roman"/>
          <w:color w:val="auto"/>
          <w:kern w:val="2"/>
          <w:sz w:val="33"/>
          <w:szCs w:val="33"/>
          <w:highlight w:val="none"/>
          <w:lang w:val="en-US" w:eastAsia="zh-CN" w:bidi="ar-SA"/>
        </w:rPr>
        <w:t>1.区委统战部（机关）</w:t>
      </w:r>
    </w:p>
    <w:bookmarkEnd w:id="22"/>
    <w:bookmarkEnd w:id="23"/>
    <w:bookmarkEnd w:id="24"/>
    <w:bookmarkEnd w:id="25"/>
    <w:p>
      <w:pPr>
        <w:pStyle w:val="8"/>
        <w:keepNext w:val="0"/>
        <w:keepLines w:val="0"/>
        <w:pageBreakBefore w:val="0"/>
        <w:kinsoku/>
        <w:wordWrap/>
        <w:overflowPunct/>
        <w:topLinePunct w:val="0"/>
        <w:autoSpaceDE/>
        <w:autoSpaceDN/>
        <w:bidi w:val="0"/>
        <w:adjustRightInd w:val="0"/>
        <w:snapToGrid w:val="0"/>
        <w:spacing w:beforeLines="0"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bookmarkStart w:id="26" w:name="_Toc15378450"/>
      <w:bookmarkStart w:id="27" w:name="_Toc15306277"/>
      <w:bookmarkStart w:id="28" w:name="_Toc15377434"/>
      <w:bookmarkStart w:id="29" w:name="_Toc15377203"/>
      <w:r>
        <w:rPr>
          <w:rFonts w:hint="eastAsia" w:ascii="Times New Roman" w:hAnsi="Times New Roman" w:eastAsia="方正仿宋_GBK" w:cs="Times New Roman"/>
          <w:color w:val="auto"/>
          <w:kern w:val="2"/>
          <w:sz w:val="33"/>
          <w:szCs w:val="33"/>
          <w:highlight w:val="none"/>
          <w:lang w:val="en-US" w:eastAsia="zh-CN" w:bidi="ar-SA"/>
        </w:rPr>
        <w:t>2.广安区统战信息工作中心</w:t>
      </w:r>
      <w:bookmarkEnd w:id="26"/>
      <w:bookmarkEnd w:id="27"/>
      <w:bookmarkEnd w:id="28"/>
      <w:bookmarkEnd w:id="29"/>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color w:val="auto"/>
          <w:highlight w:val="none"/>
        </w:rPr>
      </w:pPr>
      <w:bookmarkStart w:id="30" w:name="_Toc15396602"/>
      <w:bookmarkStart w:id="31" w:name="_Toc15377204"/>
      <w:r>
        <w:rPr>
          <w:rFonts w:hint="eastAsia" w:ascii="方正黑体_GBK" w:hAnsi="方正黑体_GBK" w:eastAsia="方正黑体_GBK" w:cs="方正黑体_GBK"/>
          <w:b w:val="0"/>
          <w:bCs/>
          <w:color w:val="auto"/>
          <w:sz w:val="44"/>
          <w:szCs w:val="44"/>
          <w:highlight w:val="none"/>
        </w:rPr>
        <w:t xml:space="preserve">第二部分 </w:t>
      </w:r>
      <w:r>
        <w:rPr>
          <w:rFonts w:hint="eastAsia" w:ascii="方正黑体_GBK" w:hAnsi="方正黑体_GBK" w:eastAsia="方正黑体_GBK" w:cs="方正黑体_GBK"/>
          <w:b w:val="0"/>
          <w:bCs/>
          <w:color w:val="auto"/>
          <w:sz w:val="44"/>
          <w:szCs w:val="44"/>
          <w:highlight w:val="none"/>
          <w:lang w:val="en-US" w:eastAsia="zh-CN"/>
        </w:rPr>
        <w:t>2022年度</w:t>
      </w:r>
      <w:r>
        <w:rPr>
          <w:rStyle w:val="31"/>
          <w:rFonts w:hint="eastAsia" w:ascii="方正黑体_GBK" w:hAnsi="方正黑体_GBK" w:eastAsia="方正黑体_GBK" w:cs="方正黑体_GBK"/>
          <w:b w:val="0"/>
          <w:bCs/>
          <w:color w:val="auto"/>
          <w:sz w:val="44"/>
          <w:szCs w:val="44"/>
          <w:highlight w:val="none"/>
        </w:rPr>
        <w:t>部门决算情况说明</w:t>
      </w:r>
      <w:bookmarkEnd w:id="30"/>
      <w:bookmarkEnd w:id="31"/>
    </w:p>
    <w:p>
      <w:pPr>
        <w:pStyle w:val="30"/>
        <w:numPr>
          <w:ilvl w:val="0"/>
          <w:numId w:val="1"/>
        </w:numPr>
        <w:spacing w:line="600" w:lineRule="exact"/>
        <w:ind w:firstLineChars="0"/>
        <w:outlineLvl w:val="1"/>
        <w:rPr>
          <w:rStyle w:val="32"/>
          <w:rFonts w:ascii="黑体" w:hAnsi="黑体" w:eastAsia="黑体"/>
          <w:b w:val="0"/>
          <w:color w:val="auto"/>
          <w:highlight w:val="none"/>
        </w:rPr>
      </w:pPr>
      <w:bookmarkStart w:id="32" w:name="_Toc15377205"/>
      <w:bookmarkStart w:id="33" w:name="_Toc15396603"/>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32"/>
      <w:bookmarkEnd w:id="3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仿宋" w:hAnsi="仿宋" w:eastAsia="仿宋"/>
          <w:color w:val="auto"/>
          <w:sz w:val="32"/>
          <w:szCs w:val="32"/>
          <w:highlight w:val="none"/>
          <w:lang w:eastAsia="zh-CN"/>
        </w:rPr>
      </w:pPr>
      <w:r>
        <w:rPr>
          <w:rFonts w:hint="eastAsia" w:ascii="Times New Roman" w:hAnsi="Times New Roman" w:eastAsia="方正仿宋_GBK" w:cs="Times New Roman"/>
          <w:color w:val="auto"/>
          <w:kern w:val="2"/>
          <w:sz w:val="33"/>
          <w:szCs w:val="33"/>
          <w:highlight w:val="none"/>
          <w:lang w:val="en-US" w:eastAsia="zh-CN" w:bidi="ar-SA"/>
        </w:rPr>
        <w:t>2022年度收、支总计</w:t>
      </w:r>
      <w:r>
        <w:rPr>
          <w:rFonts w:hint="eastAsia" w:eastAsia="方正仿宋_GBK" w:cs="Times New Roman"/>
          <w:color w:val="auto"/>
          <w:kern w:val="2"/>
          <w:sz w:val="33"/>
          <w:szCs w:val="33"/>
          <w:highlight w:val="none"/>
          <w:lang w:val="en-US" w:eastAsia="zh-CN" w:bidi="ar-SA"/>
        </w:rPr>
        <w:t>均为</w:t>
      </w:r>
      <w:r>
        <w:rPr>
          <w:rFonts w:hint="eastAsia" w:ascii="Times New Roman" w:hAnsi="Times New Roman" w:eastAsia="方正仿宋_GBK" w:cs="Times New Roman"/>
          <w:color w:val="auto"/>
          <w:kern w:val="2"/>
          <w:sz w:val="33"/>
          <w:szCs w:val="33"/>
          <w:highlight w:val="none"/>
          <w:lang w:val="en-US" w:eastAsia="zh-CN" w:bidi="ar-SA"/>
        </w:rPr>
        <w:t>559.2万元</w:t>
      </w:r>
      <w:r>
        <w:rPr>
          <w:rFonts w:hint="eastAsia" w:eastAsia="方正仿宋_GBK" w:cs="Times New Roman"/>
          <w:color w:val="auto"/>
          <w:kern w:val="2"/>
          <w:sz w:val="33"/>
          <w:szCs w:val="33"/>
          <w:highlight w:val="none"/>
          <w:lang w:val="en-US" w:eastAsia="zh-CN" w:bidi="ar-SA"/>
        </w:rPr>
        <w:t>。其中，本年收入合计544.09万元，年初结转和结余15.11万元；本年支出合计529.11万元，年末结转和结余30.08万元</w:t>
      </w:r>
      <w:r>
        <w:rPr>
          <w:rFonts w:hint="eastAsia" w:ascii="Times New Roman" w:hAnsi="Times New Roman" w:eastAsia="方正仿宋_GBK" w:cs="Times New Roman"/>
          <w:color w:val="auto"/>
          <w:kern w:val="2"/>
          <w:sz w:val="33"/>
          <w:szCs w:val="33"/>
          <w:highlight w:val="none"/>
          <w:lang w:val="en-US" w:eastAsia="zh-CN" w:bidi="ar-SA"/>
        </w:rPr>
        <w:t>。与2021年相比，收、支总计各增加183.15万元，增长48.7%。主要变动原因是项目支出增多。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ascii="仿宋_GB2312" w:eastAsia="仿宋_GB2312"/>
          <w:color w:val="auto"/>
          <w:sz w:val="32"/>
          <w:szCs w:val="32"/>
          <w:highlight w:val="none"/>
        </w:rPr>
      </w:pPr>
      <w:r>
        <w:drawing>
          <wp:inline distT="0" distB="0" distL="114300" distR="114300">
            <wp:extent cx="5269230" cy="3554095"/>
            <wp:effectExtent l="0" t="0" r="762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230" cy="3554095"/>
                    </a:xfrm>
                    <a:prstGeom prst="rect">
                      <a:avLst/>
                    </a:prstGeom>
                    <a:noFill/>
                    <a:ln>
                      <a:noFill/>
                    </a:ln>
                  </pic:spPr>
                </pic:pic>
              </a:graphicData>
            </a:graphic>
          </wp:inline>
        </w:drawing>
      </w:r>
      <w:r>
        <w:rPr>
          <w:rFonts w:hint="eastAsia" w:ascii="Times New Roman" w:hAnsi="Times New Roman" w:eastAsia="方正仿宋_GBK" w:cs="Times New Roman"/>
          <w:color w:val="auto"/>
          <w:kern w:val="2"/>
          <w:sz w:val="33"/>
          <w:szCs w:val="33"/>
          <w:highlight w:val="none"/>
          <w:lang w:val="en-US" w:eastAsia="zh-CN" w:bidi="ar-SA"/>
        </w:rPr>
        <w:t>图1：收、支决算总计变动情况图（单位：万元）</w:t>
      </w:r>
    </w:p>
    <w:p>
      <w:pPr>
        <w:pStyle w:val="30"/>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Chars="0"/>
        <w:textAlignment w:val="auto"/>
        <w:outlineLvl w:val="1"/>
        <w:rPr>
          <w:rStyle w:val="32"/>
          <w:rFonts w:ascii="黑体" w:hAnsi="黑体" w:eastAsia="黑体"/>
          <w:b w:val="0"/>
          <w:color w:val="auto"/>
          <w:highlight w:val="none"/>
        </w:rPr>
      </w:pPr>
      <w:bookmarkStart w:id="34" w:name="_Toc15396604"/>
      <w:bookmarkStart w:id="35"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4"/>
      <w:bookmarkEnd w:id="35"/>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2022年本年收入合计544.09万元，其中：一般公共预算财政拨款收入544.09万元，占100%；无政府性基金预算财政拨款收入、国有资本经营预算财政拨款收入、上级补助收入、事业收入、经营收入、附属单位上缴收入、其他收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1"/>
        <w:rPr>
          <w:rFonts w:ascii="仿宋" w:hAnsi="仿宋" w:eastAsia="仿宋"/>
          <w:color w:val="auto"/>
          <w:sz w:val="32"/>
          <w:szCs w:val="32"/>
          <w:highlight w:val="none"/>
        </w:rPr>
      </w:pPr>
      <w:r>
        <w:drawing>
          <wp:inline distT="0" distB="0" distL="114300" distR="114300">
            <wp:extent cx="4924425" cy="34099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924425" cy="34099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center"/>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图2：收入决算结构图</w:t>
      </w:r>
    </w:p>
    <w:p>
      <w:pPr>
        <w:pStyle w:val="30"/>
        <w:numPr>
          <w:ilvl w:val="0"/>
          <w:numId w:val="1"/>
        </w:numPr>
        <w:spacing w:line="600" w:lineRule="exact"/>
        <w:ind w:firstLineChars="0"/>
        <w:outlineLvl w:val="1"/>
        <w:rPr>
          <w:rStyle w:val="32"/>
          <w:rFonts w:ascii="黑体" w:hAnsi="黑体" w:eastAsia="黑体"/>
          <w:b w:val="0"/>
          <w:color w:val="auto"/>
          <w:highlight w:val="none"/>
        </w:rPr>
      </w:pPr>
      <w:bookmarkStart w:id="36" w:name="_Toc15396605"/>
      <w:bookmarkStart w:id="37" w:name="_Toc1537720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2022年本年支出合计529.11万元，其中：基本支出279.57万元，占53%；项目支出249.55万元，占47%。无上缴上级支出、经营支出、对附属部门补助支出。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ascii="仿宋" w:hAnsi="仿宋" w:eastAsia="仿宋"/>
          <w:color w:val="auto"/>
          <w:sz w:val="32"/>
          <w:szCs w:val="32"/>
          <w:highlight w:val="none"/>
          <w:shd w:val="pct10" w:color="auto" w:fill="FFFFFF"/>
        </w:rPr>
      </w:pPr>
      <w:r>
        <w:drawing>
          <wp:inline distT="0" distB="0" distL="114300" distR="114300">
            <wp:extent cx="4648200" cy="3056255"/>
            <wp:effectExtent l="0" t="0" r="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648200" cy="3056255"/>
                    </a:xfrm>
                    <a:prstGeom prst="rect">
                      <a:avLst/>
                    </a:prstGeom>
                    <a:noFill/>
                    <a:ln>
                      <a:noFill/>
                    </a:ln>
                  </pic:spPr>
                </pic:pic>
              </a:graphicData>
            </a:graphic>
          </wp:inline>
        </w:drawing>
      </w:r>
    </w:p>
    <w:p>
      <w:pPr>
        <w:spacing w:line="600" w:lineRule="exact"/>
        <w:ind w:firstLine="660" w:firstLineChars="200"/>
        <w:jc w:val="center"/>
        <w:rPr>
          <w:rFonts w:ascii="仿宋_GB2312" w:eastAsia="仿宋_GB2312"/>
          <w:color w:val="auto"/>
          <w:sz w:val="32"/>
          <w:szCs w:val="32"/>
          <w:highlight w:val="none"/>
        </w:rPr>
      </w:pPr>
      <w:r>
        <w:rPr>
          <w:rFonts w:hint="eastAsia" w:ascii="Times New Roman" w:hAnsi="Times New Roman" w:eastAsia="方正仿宋_GBK" w:cs="Times New Roman"/>
          <w:color w:val="auto"/>
          <w:kern w:val="2"/>
          <w:sz w:val="33"/>
          <w:szCs w:val="33"/>
          <w:highlight w:val="none"/>
          <w:lang w:val="en-US" w:eastAsia="zh-CN" w:bidi="ar-SA"/>
        </w:rPr>
        <w:t>图3：支出决算结构图</w:t>
      </w:r>
    </w:p>
    <w:p>
      <w:pPr>
        <w:spacing w:line="600" w:lineRule="exact"/>
        <w:ind w:firstLine="640" w:firstLineChars="200"/>
        <w:outlineLvl w:val="1"/>
        <w:rPr>
          <w:rStyle w:val="32"/>
          <w:rFonts w:ascii="黑体" w:hAnsi="黑体" w:eastAsia="黑体"/>
          <w:b w:val="0"/>
          <w:color w:val="auto"/>
          <w:highlight w:val="none"/>
        </w:rPr>
      </w:pPr>
      <w:bookmarkStart w:id="38" w:name="_Toc15396606"/>
      <w:bookmarkStart w:id="39"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8"/>
      <w:bookmarkEnd w:id="39"/>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2022年财政拨款收</w:t>
      </w:r>
      <w:r>
        <w:rPr>
          <w:rFonts w:hint="eastAsia"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支总计</w:t>
      </w:r>
      <w:r>
        <w:rPr>
          <w:rFonts w:hint="eastAsia" w:eastAsia="方正仿宋_GBK" w:cs="Times New Roman"/>
          <w:color w:val="auto"/>
          <w:kern w:val="2"/>
          <w:sz w:val="33"/>
          <w:szCs w:val="33"/>
          <w:highlight w:val="none"/>
          <w:lang w:val="en-US" w:eastAsia="zh-CN" w:bidi="ar-SA"/>
        </w:rPr>
        <w:t>1073.2</w:t>
      </w:r>
      <w:r>
        <w:rPr>
          <w:rFonts w:hint="eastAsia" w:ascii="Times New Roman" w:hAnsi="Times New Roman" w:eastAsia="方正仿宋_GBK" w:cs="Times New Roman"/>
          <w:color w:val="auto"/>
          <w:kern w:val="2"/>
          <w:sz w:val="33"/>
          <w:szCs w:val="33"/>
          <w:highlight w:val="none"/>
          <w:lang w:val="en-US" w:eastAsia="zh-CN" w:bidi="ar-SA"/>
        </w:rPr>
        <w:t>万元。与2021年相比，财政拨款收入、支出总计增加</w:t>
      </w:r>
      <w:r>
        <w:rPr>
          <w:rFonts w:hint="eastAsia" w:eastAsia="方正仿宋_GBK" w:cs="Times New Roman"/>
          <w:color w:val="auto"/>
          <w:kern w:val="2"/>
          <w:sz w:val="33"/>
          <w:szCs w:val="33"/>
          <w:highlight w:val="none"/>
          <w:lang w:val="en-US" w:eastAsia="zh-CN" w:bidi="ar-SA"/>
        </w:rPr>
        <w:t>374.37</w:t>
      </w:r>
      <w:r>
        <w:rPr>
          <w:rFonts w:hint="eastAsia" w:ascii="Times New Roman" w:hAnsi="Times New Roman" w:eastAsia="方正仿宋_GBK" w:cs="Times New Roman"/>
          <w:color w:val="auto"/>
          <w:kern w:val="2"/>
          <w:sz w:val="33"/>
          <w:szCs w:val="33"/>
          <w:highlight w:val="none"/>
          <w:lang w:val="en-US" w:eastAsia="zh-CN" w:bidi="ar-SA"/>
        </w:rPr>
        <w:t>万元，增长</w:t>
      </w:r>
      <w:r>
        <w:rPr>
          <w:rFonts w:hint="eastAsia" w:eastAsia="方正仿宋_GBK" w:cs="Times New Roman"/>
          <w:color w:val="auto"/>
          <w:kern w:val="2"/>
          <w:sz w:val="33"/>
          <w:szCs w:val="33"/>
          <w:highlight w:val="none"/>
          <w:lang w:val="en-US" w:eastAsia="zh-CN" w:bidi="ar-SA"/>
        </w:rPr>
        <w:t>53.57</w:t>
      </w:r>
      <w:r>
        <w:rPr>
          <w:rFonts w:hint="eastAsia" w:ascii="Times New Roman" w:hAnsi="Times New Roman" w:eastAsia="方正仿宋_GBK" w:cs="Times New Roman"/>
          <w:color w:val="auto"/>
          <w:kern w:val="2"/>
          <w:sz w:val="33"/>
          <w:szCs w:val="33"/>
          <w:highlight w:val="none"/>
          <w:lang w:val="en-US" w:eastAsia="zh-CN" w:bidi="ar-SA"/>
        </w:rPr>
        <w:t>%。主要变动原因是项目支出增多。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drawing>
          <wp:inline distT="0" distB="0" distL="114300" distR="114300">
            <wp:extent cx="4575175" cy="2819400"/>
            <wp:effectExtent l="4445" t="4445" r="11430"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图4：财政拨款收、支决算总计变动情况（单位：万元）</w:t>
      </w:r>
    </w:p>
    <w:p>
      <w:pPr>
        <w:spacing w:line="600" w:lineRule="exact"/>
        <w:ind w:firstLine="640" w:firstLineChars="200"/>
        <w:outlineLvl w:val="1"/>
        <w:rPr>
          <w:rStyle w:val="32"/>
          <w:rFonts w:ascii="黑体" w:hAnsi="黑体" w:eastAsia="黑体"/>
          <w:b w:val="0"/>
          <w:color w:val="auto"/>
          <w:highlight w:val="none"/>
        </w:rPr>
      </w:pPr>
      <w:bookmarkStart w:id="40" w:name="_Toc15396607"/>
      <w:bookmarkStart w:id="4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0"/>
      <w:bookmarkEnd w:id="41"/>
    </w:p>
    <w:p>
      <w:pPr>
        <w:spacing w:line="600" w:lineRule="exact"/>
        <w:ind w:firstLine="643" w:firstLineChars="200"/>
        <w:outlineLvl w:val="2"/>
        <w:rPr>
          <w:rFonts w:hint="eastAsia" w:ascii="方正楷体_GBK" w:hAnsi="方正楷体_GBK" w:eastAsia="方正楷体_GBK" w:cs="方正楷体_GBK"/>
          <w:b/>
          <w:color w:val="auto"/>
          <w:sz w:val="32"/>
          <w:szCs w:val="32"/>
          <w:highlight w:val="none"/>
        </w:rPr>
      </w:pPr>
      <w:bookmarkStart w:id="42" w:name="_Toc15377210"/>
      <w:r>
        <w:rPr>
          <w:rFonts w:hint="eastAsia" w:ascii="方正楷体_GBK" w:hAnsi="方正楷体_GBK" w:eastAsia="方正楷体_GBK" w:cs="方正楷体_GBK"/>
          <w:b/>
          <w:color w:val="auto"/>
          <w:sz w:val="32"/>
          <w:szCs w:val="32"/>
          <w:highlight w:val="none"/>
        </w:rPr>
        <w:t>（一）一般公共预算财政拨款支出决算总体情况</w:t>
      </w:r>
      <w:bookmarkEnd w:id="42"/>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2022年一般公共预算财政拨款支出529.11万元，占本年支出合计的100%。与2021年相比，一般公共预算财政拨款支出增加173.14万元，增长48.63%。主要变动原因是项目支出增多。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方正仿宋_GBK" w:cs="Times New Roman"/>
          <w:color w:val="auto"/>
          <w:kern w:val="2"/>
          <w:sz w:val="33"/>
          <w:szCs w:val="33"/>
          <w:highlight w:val="none"/>
          <w:lang w:val="en-US" w:eastAsia="zh-CN" w:bidi="ar-SA"/>
        </w:rPr>
      </w:pPr>
      <w:r>
        <w:drawing>
          <wp:inline distT="0" distB="0" distL="114300" distR="114300">
            <wp:extent cx="5105400" cy="32194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105400" cy="3219450"/>
                    </a:xfrm>
                    <a:prstGeom prst="rect">
                      <a:avLst/>
                    </a:prstGeom>
                    <a:noFill/>
                    <a:ln>
                      <a:noFill/>
                    </a:ln>
                  </pic:spPr>
                </pic:pic>
              </a:graphicData>
            </a:graphic>
          </wp:inline>
        </w:drawing>
      </w:r>
      <w:r>
        <w:rPr>
          <w:rFonts w:hint="eastAsia" w:ascii="Times New Roman" w:hAnsi="Times New Roman" w:eastAsia="方正仿宋_GBK" w:cs="Times New Roman"/>
          <w:color w:val="auto"/>
          <w:kern w:val="2"/>
          <w:sz w:val="33"/>
          <w:szCs w:val="33"/>
          <w:highlight w:val="none"/>
          <w:lang w:val="en-US" w:eastAsia="zh-CN" w:bidi="ar-SA"/>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2022年一般公共预算财政拨款支出529.11万元，主要用于以下方面</w:t>
      </w:r>
      <w:r>
        <w:rPr>
          <w:rFonts w:hint="eastAsia"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b/>
          <w:bCs/>
          <w:color w:val="auto"/>
          <w:kern w:val="2"/>
          <w:sz w:val="33"/>
          <w:szCs w:val="33"/>
          <w:highlight w:val="none"/>
          <w:lang w:val="en-US" w:eastAsia="zh-CN" w:bidi="ar-SA"/>
        </w:rPr>
        <w:t>一般公共服务支出</w:t>
      </w:r>
      <w:r>
        <w:rPr>
          <w:rFonts w:hint="eastAsia" w:ascii="Times New Roman" w:hAnsi="Times New Roman" w:eastAsia="方正仿宋_GBK" w:cs="Times New Roman"/>
          <w:color w:val="auto"/>
          <w:kern w:val="2"/>
          <w:sz w:val="33"/>
          <w:szCs w:val="33"/>
          <w:highlight w:val="none"/>
          <w:lang w:val="en-US" w:eastAsia="zh-CN" w:bidi="ar-SA"/>
        </w:rPr>
        <w:t>356.24万元，占67.33%；</w:t>
      </w:r>
      <w:r>
        <w:rPr>
          <w:rFonts w:hint="eastAsia" w:ascii="Times New Roman" w:hAnsi="Times New Roman" w:eastAsia="方正仿宋_GBK" w:cs="Times New Roman"/>
          <w:b/>
          <w:bCs/>
          <w:color w:val="auto"/>
          <w:kern w:val="2"/>
          <w:sz w:val="33"/>
          <w:szCs w:val="33"/>
          <w:highlight w:val="none"/>
          <w:lang w:val="en-US" w:eastAsia="zh-CN" w:bidi="ar-SA"/>
        </w:rPr>
        <w:t>农林水支出</w:t>
      </w:r>
      <w:r>
        <w:rPr>
          <w:rFonts w:hint="eastAsia" w:ascii="Times New Roman" w:hAnsi="Times New Roman" w:eastAsia="方正仿宋_GBK" w:cs="Times New Roman"/>
          <w:color w:val="auto"/>
          <w:kern w:val="2"/>
          <w:sz w:val="33"/>
          <w:szCs w:val="33"/>
          <w:highlight w:val="none"/>
          <w:lang w:val="en-US" w:eastAsia="zh-CN" w:bidi="ar-SA"/>
        </w:rPr>
        <w:t>106.69万元，占20.16%；</w:t>
      </w:r>
      <w:r>
        <w:rPr>
          <w:rFonts w:hint="eastAsia" w:ascii="Times New Roman" w:hAnsi="Times New Roman" w:eastAsia="方正仿宋_GBK" w:cs="Times New Roman"/>
          <w:b/>
          <w:bCs/>
          <w:color w:val="auto"/>
          <w:kern w:val="2"/>
          <w:sz w:val="33"/>
          <w:szCs w:val="33"/>
          <w:highlight w:val="none"/>
          <w:lang w:val="en-US" w:eastAsia="zh-CN" w:bidi="ar-SA"/>
        </w:rPr>
        <w:t>卫生健康支出</w:t>
      </w:r>
      <w:r>
        <w:rPr>
          <w:rFonts w:hint="eastAsia" w:ascii="Times New Roman" w:hAnsi="Times New Roman" w:eastAsia="方正仿宋_GBK" w:cs="Times New Roman"/>
          <w:color w:val="auto"/>
          <w:kern w:val="2"/>
          <w:sz w:val="33"/>
          <w:szCs w:val="33"/>
          <w:highlight w:val="none"/>
          <w:lang w:val="en-US" w:eastAsia="zh-CN" w:bidi="ar-SA"/>
        </w:rPr>
        <w:t>29.97万元，占5.66%；</w:t>
      </w:r>
      <w:r>
        <w:rPr>
          <w:rFonts w:hint="eastAsia" w:ascii="Times New Roman" w:hAnsi="Times New Roman" w:eastAsia="方正仿宋_GBK" w:cs="Times New Roman"/>
          <w:b/>
          <w:bCs/>
          <w:color w:val="auto"/>
          <w:kern w:val="2"/>
          <w:sz w:val="33"/>
          <w:szCs w:val="33"/>
          <w:highlight w:val="none"/>
          <w:lang w:val="en-US" w:eastAsia="zh-CN" w:bidi="ar-SA"/>
        </w:rPr>
        <w:t>社会保障和就业支出</w:t>
      </w:r>
      <w:r>
        <w:rPr>
          <w:rFonts w:hint="eastAsia" w:ascii="Times New Roman" w:hAnsi="Times New Roman" w:eastAsia="方正仿宋_GBK" w:cs="Times New Roman"/>
          <w:color w:val="auto"/>
          <w:kern w:val="2"/>
          <w:sz w:val="33"/>
          <w:szCs w:val="33"/>
          <w:highlight w:val="none"/>
          <w:lang w:val="en-US" w:eastAsia="zh-CN" w:bidi="ar-SA"/>
        </w:rPr>
        <w:t>23.72万元，占4.48%；</w:t>
      </w:r>
      <w:r>
        <w:rPr>
          <w:rFonts w:hint="eastAsia" w:ascii="Times New Roman" w:hAnsi="Times New Roman" w:eastAsia="方正仿宋_GBK" w:cs="Times New Roman"/>
          <w:b/>
          <w:bCs/>
          <w:color w:val="auto"/>
          <w:kern w:val="2"/>
          <w:sz w:val="33"/>
          <w:szCs w:val="33"/>
          <w:highlight w:val="none"/>
          <w:lang w:val="en-US" w:eastAsia="zh-CN" w:bidi="ar-SA"/>
        </w:rPr>
        <w:t>住房保障支出</w:t>
      </w:r>
      <w:r>
        <w:rPr>
          <w:rFonts w:hint="eastAsia" w:ascii="Times New Roman" w:hAnsi="Times New Roman" w:eastAsia="方正仿宋_GBK" w:cs="Times New Roman"/>
          <w:color w:val="auto"/>
          <w:kern w:val="2"/>
          <w:sz w:val="33"/>
          <w:szCs w:val="33"/>
          <w:highlight w:val="none"/>
          <w:lang w:val="en-US" w:eastAsia="zh-CN" w:bidi="ar-SA"/>
        </w:rPr>
        <w:t>12.5万元，占2.36%。</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方正仿宋_GBK" w:cs="Times New Roman"/>
          <w:color w:val="auto"/>
          <w:kern w:val="2"/>
          <w:sz w:val="33"/>
          <w:szCs w:val="33"/>
          <w:highlight w:val="none"/>
          <w:lang w:val="en-US" w:eastAsia="zh-CN" w:bidi="ar-SA"/>
        </w:rPr>
      </w:pPr>
      <w:r>
        <w:drawing>
          <wp:inline distT="0" distB="0" distL="114300" distR="114300">
            <wp:extent cx="4870450" cy="3184525"/>
            <wp:effectExtent l="0" t="0" r="6350" b="158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4870450" cy="3184525"/>
                    </a:xfrm>
                    <a:prstGeom prst="rect">
                      <a:avLst/>
                    </a:prstGeom>
                    <a:noFill/>
                    <a:ln>
                      <a:noFill/>
                    </a:ln>
                  </pic:spPr>
                </pic:pic>
              </a:graphicData>
            </a:graphic>
          </wp:inline>
        </w:drawing>
      </w:r>
      <w:r>
        <w:rPr>
          <w:rFonts w:hint="eastAsia" w:ascii="Times New Roman" w:hAnsi="Times New Roman" w:eastAsia="方正仿宋_GBK" w:cs="Times New Roman"/>
          <w:color w:val="auto"/>
          <w:kern w:val="2"/>
          <w:sz w:val="33"/>
          <w:szCs w:val="33"/>
          <w:highlight w:val="none"/>
          <w:lang w:val="en-US" w:eastAsia="zh-CN" w:bidi="ar-SA"/>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方正楷体_GBK" w:hAnsi="方正楷体_GBK" w:eastAsia="方正楷体_GBK" w:cs="方正楷体_GBK"/>
          <w:b/>
          <w:color w:val="auto"/>
          <w:sz w:val="32"/>
          <w:szCs w:val="32"/>
          <w:highlight w:val="none"/>
        </w:rPr>
        <w:t>（三）一般公共预算财政拨款支出决算具体情况</w:t>
      </w:r>
      <w:bookmarkEnd w:id="44"/>
    </w:p>
    <w:p>
      <w:pPr>
        <w:spacing w:line="600" w:lineRule="exact"/>
        <w:ind w:firstLine="663" w:firstLineChars="200"/>
        <w:outlineLvl w:val="2"/>
        <w:rPr>
          <w:rFonts w:hint="default" w:ascii="Times New Roman" w:hAnsi="Times New Roman" w:eastAsia="方正仿宋_GBK" w:cs="Times New Roman"/>
          <w:color w:val="auto"/>
          <w:sz w:val="33"/>
          <w:szCs w:val="33"/>
          <w:highlight w:val="none"/>
        </w:rPr>
      </w:pPr>
      <w:bookmarkStart w:id="45" w:name="_Toc15378460"/>
      <w:bookmarkStart w:id="46" w:name="_Toc15377213"/>
      <w:bookmarkStart w:id="47" w:name="_Toc15377444"/>
      <w:r>
        <w:rPr>
          <w:rFonts w:hint="default" w:ascii="Times New Roman" w:hAnsi="Times New Roman" w:eastAsia="方正仿宋_GBK" w:cs="Times New Roman"/>
          <w:b/>
          <w:color w:val="auto"/>
          <w:sz w:val="33"/>
          <w:szCs w:val="33"/>
          <w:highlight w:val="none"/>
        </w:rPr>
        <w:t>20</w:t>
      </w:r>
      <w:r>
        <w:rPr>
          <w:rFonts w:hint="default" w:ascii="Times New Roman" w:hAnsi="Times New Roman" w:eastAsia="方正仿宋_GBK" w:cs="Times New Roman"/>
          <w:b/>
          <w:color w:val="auto"/>
          <w:sz w:val="33"/>
          <w:szCs w:val="33"/>
          <w:highlight w:val="none"/>
          <w:lang w:val="en-US" w:eastAsia="zh-CN"/>
        </w:rPr>
        <w:t>22</w:t>
      </w:r>
      <w:r>
        <w:rPr>
          <w:rFonts w:hint="default" w:ascii="Times New Roman" w:hAnsi="Times New Roman" w:eastAsia="方正仿宋_GBK" w:cs="Times New Roman"/>
          <w:b/>
          <w:color w:val="auto"/>
          <w:sz w:val="33"/>
          <w:szCs w:val="33"/>
          <w:highlight w:val="none"/>
        </w:rPr>
        <w:t>年</w:t>
      </w:r>
      <w:r>
        <w:rPr>
          <w:rFonts w:hint="default" w:ascii="Times New Roman" w:hAnsi="Times New Roman" w:eastAsia="方正仿宋_GBK" w:cs="Times New Roman"/>
          <w:b/>
          <w:color w:val="auto"/>
          <w:sz w:val="33"/>
          <w:szCs w:val="33"/>
          <w:highlight w:val="none"/>
          <w:lang w:eastAsia="zh-CN"/>
        </w:rPr>
        <w:t>一</w:t>
      </w:r>
      <w:r>
        <w:rPr>
          <w:rFonts w:hint="default" w:ascii="Times New Roman" w:hAnsi="Times New Roman" w:eastAsia="方正仿宋_GBK" w:cs="Times New Roman"/>
          <w:b/>
          <w:color w:val="auto"/>
          <w:sz w:val="33"/>
          <w:szCs w:val="33"/>
          <w:highlight w:val="none"/>
        </w:rPr>
        <w:t>般公共预算支出决算数为</w:t>
      </w:r>
      <w:r>
        <w:rPr>
          <w:rFonts w:hint="default" w:ascii="Times New Roman" w:hAnsi="Times New Roman" w:eastAsia="方正仿宋_GBK" w:cs="Times New Roman"/>
          <w:color w:val="auto"/>
          <w:sz w:val="33"/>
          <w:szCs w:val="33"/>
          <w:highlight w:val="none"/>
        </w:rPr>
        <w:t>529.11</w:t>
      </w:r>
      <w:r>
        <w:rPr>
          <w:rFonts w:hint="eastAsia" w:ascii="Times New Roman" w:hAnsi="Times New Roman" w:eastAsia="方正仿宋_GBK" w:cs="Times New Roman"/>
          <w:b/>
          <w:color w:val="auto"/>
          <w:sz w:val="33"/>
          <w:szCs w:val="33"/>
          <w:highlight w:val="none"/>
          <w:lang w:val="en-US" w:eastAsia="zh-CN"/>
        </w:rPr>
        <w:t>万元</w:t>
      </w:r>
      <w:r>
        <w:rPr>
          <w:rFonts w:hint="default" w:ascii="Times New Roman" w:hAnsi="Times New Roman" w:eastAsia="方正仿宋_GBK" w:cs="Times New Roman"/>
          <w:color w:val="auto"/>
          <w:sz w:val="33"/>
          <w:szCs w:val="33"/>
          <w:highlight w:val="none"/>
        </w:rPr>
        <w:t>，</w:t>
      </w:r>
      <w:r>
        <w:rPr>
          <w:rStyle w:val="20"/>
          <w:rFonts w:hint="default" w:ascii="Times New Roman" w:hAnsi="Times New Roman" w:eastAsia="方正仿宋_GBK" w:cs="Times New Roman"/>
          <w:bCs/>
          <w:color w:val="auto"/>
          <w:sz w:val="33"/>
          <w:szCs w:val="33"/>
          <w:highlight w:val="none"/>
        </w:rPr>
        <w:t>完成预算</w:t>
      </w:r>
      <w:r>
        <w:rPr>
          <w:rStyle w:val="20"/>
          <w:rFonts w:hint="eastAsia" w:eastAsia="方正仿宋_GBK" w:cs="Times New Roman"/>
          <w:bCs/>
          <w:color w:val="auto"/>
          <w:sz w:val="33"/>
          <w:szCs w:val="33"/>
          <w:highlight w:val="none"/>
          <w:lang w:val="en-US" w:eastAsia="zh-CN"/>
        </w:rPr>
        <w:t>97.25</w:t>
      </w:r>
      <w:r>
        <w:rPr>
          <w:rStyle w:val="20"/>
          <w:rFonts w:hint="default" w:ascii="Times New Roman" w:hAnsi="Times New Roman" w:eastAsia="方正仿宋_GBK" w:cs="Times New Roman"/>
          <w:bCs/>
          <w:color w:val="auto"/>
          <w:sz w:val="33"/>
          <w:szCs w:val="33"/>
          <w:highlight w:val="none"/>
        </w:rPr>
        <w:t>%。其中：</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color w:val="auto"/>
          <w:sz w:val="33"/>
          <w:szCs w:val="33"/>
          <w:highlight w:val="none"/>
        </w:rPr>
      </w:pPr>
      <w:r>
        <w:rPr>
          <w:rStyle w:val="20"/>
          <w:rFonts w:hint="default" w:ascii="Times New Roman" w:hAnsi="Times New Roman" w:eastAsia="方正仿宋_GBK" w:cs="Times New Roman"/>
          <w:bCs/>
          <w:color w:val="auto"/>
          <w:sz w:val="33"/>
          <w:szCs w:val="33"/>
          <w:highlight w:val="none"/>
        </w:rPr>
        <w:t>1.一般公共服务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（类）民族事务（款）其他民族事务支出（项）: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9.92</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eastAsia" w:eastAsia="方正仿宋_GBK" w:cs="Times New Roman"/>
          <w:b w:val="0"/>
          <w:bCs/>
          <w:color w:val="auto"/>
          <w:sz w:val="33"/>
          <w:szCs w:val="33"/>
          <w:highlight w:val="none"/>
          <w:lang w:val="en-US" w:eastAsia="zh-CN"/>
        </w:rPr>
        <w:t>24.8</w:t>
      </w:r>
      <w:r>
        <w:rPr>
          <w:rStyle w:val="20"/>
          <w:rFonts w:hint="default" w:ascii="Times New Roman" w:hAnsi="Times New Roman" w:eastAsia="方正仿宋_GBK" w:cs="Times New Roman"/>
          <w:b w:val="0"/>
          <w:bCs/>
          <w:color w:val="auto"/>
          <w:sz w:val="33"/>
          <w:szCs w:val="33"/>
          <w:highlight w:val="none"/>
        </w:rPr>
        <w:t>%，决算数小于预算数的原因是根据当年实际情况发生的</w:t>
      </w:r>
      <w:r>
        <w:rPr>
          <w:rStyle w:val="20"/>
          <w:rFonts w:hint="eastAsia" w:eastAsia="方正仿宋_GBK" w:cs="Times New Roman"/>
          <w:b w:val="0"/>
          <w:bCs/>
          <w:color w:val="auto"/>
          <w:sz w:val="33"/>
          <w:szCs w:val="33"/>
          <w:highlight w:val="none"/>
          <w:lang w:val="en-US" w:eastAsia="zh-CN"/>
        </w:rPr>
        <w:t>列支</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color w:val="auto"/>
          <w:sz w:val="33"/>
          <w:szCs w:val="33"/>
          <w:highlight w:val="none"/>
        </w:rPr>
      </w:pPr>
      <w:r>
        <w:rPr>
          <w:rStyle w:val="20"/>
          <w:rFonts w:hint="default" w:ascii="Times New Roman" w:hAnsi="Times New Roman" w:eastAsia="方正仿宋_GBK" w:cs="Times New Roman"/>
          <w:bCs/>
          <w:color w:val="auto"/>
          <w:sz w:val="33"/>
          <w:szCs w:val="33"/>
          <w:highlight w:val="none"/>
        </w:rPr>
        <w:t>2.一般公共服务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（类）港澳台事务（款）一般行政管理事务（项）:</w:t>
      </w:r>
      <w:r>
        <w:rPr>
          <w:rStyle w:val="20"/>
          <w:rFonts w:hint="default" w:ascii="Times New Roman" w:hAnsi="Times New Roman" w:eastAsia="方正仿宋_GBK" w:cs="Times New Roman"/>
          <w:b w:val="0"/>
          <w:bCs/>
          <w:color w:val="auto"/>
          <w:sz w:val="33"/>
          <w:szCs w:val="33"/>
          <w:highlight w:val="none"/>
        </w:rPr>
        <w:t>支出决算为12.49万元，完成预算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3</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（类）港澳台事务（款）其他港澳台事务支出（项）:</w:t>
      </w:r>
      <w:r>
        <w:rPr>
          <w:rStyle w:val="20"/>
          <w:rFonts w:hint="default" w:ascii="Times New Roman" w:hAnsi="Times New Roman" w:eastAsia="方正仿宋_GBK" w:cs="Times New Roman"/>
          <w:b w:val="0"/>
          <w:bCs/>
          <w:color w:val="auto"/>
          <w:sz w:val="33"/>
          <w:szCs w:val="33"/>
          <w:highlight w:val="none"/>
        </w:rPr>
        <w:t xml:space="preserve"> 支出决算为</w:t>
      </w:r>
      <w:r>
        <w:rPr>
          <w:rStyle w:val="20"/>
          <w:rFonts w:hint="default" w:ascii="Times New Roman" w:hAnsi="Times New Roman" w:eastAsia="方正仿宋_GBK" w:cs="Times New Roman"/>
          <w:b w:val="0"/>
          <w:bCs/>
          <w:color w:val="auto"/>
          <w:sz w:val="33"/>
          <w:szCs w:val="33"/>
          <w:highlight w:val="none"/>
          <w:lang w:val="en-US" w:eastAsia="zh-CN"/>
        </w:rPr>
        <w:t>1.76</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4.</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（类）民主党派及工商联事务（款）一般行政管理事务（项）</w:t>
      </w:r>
      <w:r>
        <w:rPr>
          <w:rStyle w:val="20"/>
          <w:rFonts w:hint="eastAsia" w:eastAsia="方正仿宋_GBK" w:cs="Times New Roman"/>
          <w:bCs/>
          <w:color w:val="auto"/>
          <w:sz w:val="33"/>
          <w:szCs w:val="33"/>
          <w:highlight w:val="none"/>
          <w:lang w:eastAsia="zh-CN"/>
        </w:rPr>
        <w:t>：</w:t>
      </w:r>
      <w:r>
        <w:rPr>
          <w:rStyle w:val="20"/>
          <w:rFonts w:hint="eastAsia" w:ascii="Times New Roman" w:hAnsi="Times New Roman" w:eastAsia="方正仿宋_GBK" w:cs="Times New Roman"/>
          <w:b w:val="0"/>
          <w:bCs/>
          <w:color w:val="auto"/>
          <w:sz w:val="33"/>
          <w:szCs w:val="33"/>
          <w:highlight w:val="none"/>
          <w:lang w:eastAsia="zh-CN"/>
        </w:rPr>
        <w:t>支出决算为8.03万元，</w:t>
      </w:r>
      <w:r>
        <w:rPr>
          <w:rStyle w:val="20"/>
          <w:rFonts w:hint="default" w:ascii="Times New Roman" w:hAnsi="Times New Roman" w:eastAsia="方正仿宋_GBK" w:cs="Times New Roman"/>
          <w:b w:val="0"/>
          <w:bCs/>
          <w:color w:val="auto"/>
          <w:sz w:val="33"/>
          <w:szCs w:val="33"/>
          <w:highlight w:val="none"/>
        </w:rPr>
        <w:t>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3" w:firstLineChars="200"/>
        <w:textAlignment w:val="auto"/>
        <w:rPr>
          <w:rStyle w:val="20"/>
          <w:rFonts w:hint="eastAsia" w:ascii="Times New Roman" w:hAnsi="Times New Roman" w:eastAsia="仿宋" w:cs="Times New Roman"/>
          <w:b w:val="0"/>
          <w:bCs/>
          <w:color w:val="auto"/>
          <w:sz w:val="33"/>
          <w:szCs w:val="33"/>
          <w:highlight w:val="none"/>
          <w:lang w:val="en-US" w:eastAsia="zh-CN"/>
        </w:rPr>
      </w:pPr>
      <w:r>
        <w:rPr>
          <w:rStyle w:val="20"/>
          <w:rFonts w:hint="eastAsia" w:eastAsia="方正仿宋_GBK" w:cs="Times New Roman"/>
          <w:bCs/>
          <w:color w:val="auto"/>
          <w:sz w:val="33"/>
          <w:szCs w:val="33"/>
          <w:highlight w:val="none"/>
          <w:lang w:val="en-US" w:eastAsia="zh-CN"/>
        </w:rPr>
        <w:t>5</w:t>
      </w:r>
      <w:r>
        <w:rPr>
          <w:rStyle w:val="20"/>
          <w:rFonts w:hint="default" w:ascii="Times New Roman" w:hAnsi="Times New Roman" w:eastAsia="方正仿宋_GBK" w:cs="Times New Roman"/>
          <w:bCs/>
          <w:color w:val="auto"/>
          <w:sz w:val="33"/>
          <w:szCs w:val="33"/>
          <w:highlight w:val="none"/>
          <w:lang w:val="en-US" w:eastAsia="zh-CN"/>
        </w:rPr>
        <w:t>.</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（类）民主党派及工商联事务（款）其他民主党派及工商联事务支出（项）: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1.56</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eastAsia"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eastAsia" w:ascii="Times New Roman" w:hAnsi="Times New Roman" w:eastAsia="仿宋"/>
          <w:b w:val="0"/>
          <w:bCs/>
          <w:color w:val="auto"/>
          <w:sz w:val="32"/>
          <w:szCs w:val="32"/>
          <w:highlight w:val="none"/>
        </w:rPr>
        <w:t>决算数</w:t>
      </w:r>
      <w:r>
        <w:rPr>
          <w:rStyle w:val="20"/>
          <w:rFonts w:hint="eastAsia" w:ascii="Times New Roman" w:hAnsi="Times New Roman" w:eastAsia="仿宋"/>
          <w:b w:val="0"/>
          <w:bCs/>
          <w:color w:val="auto"/>
          <w:sz w:val="32"/>
          <w:szCs w:val="32"/>
          <w:highlight w:val="none"/>
          <w:lang w:eastAsia="zh-CN"/>
        </w:rPr>
        <w:t>等于</w:t>
      </w:r>
      <w:r>
        <w:rPr>
          <w:rStyle w:val="20"/>
          <w:rFonts w:hint="eastAsia" w:ascii="Times New Roman" w:hAnsi="Times New Roman" w:eastAsia="仿宋"/>
          <w:b w:val="0"/>
          <w:bCs/>
          <w:color w:val="auto"/>
          <w:sz w:val="32"/>
          <w:szCs w:val="32"/>
          <w:highlight w:val="none"/>
        </w:rPr>
        <w:t>预算数</w:t>
      </w:r>
      <w:r>
        <w:rPr>
          <w:rStyle w:val="20"/>
          <w:rFonts w:hint="eastAsia" w:ascii="Times New Roman" w:hAnsi="Times New Roman" w:eastAsia="仿宋"/>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6</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（类）群众团体事务（款）一般行政管理事务（项）: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4</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7</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（类）群众团体事务（款）其他群众团体事务支出（项）: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3</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8</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（类）统战事务（款）行政运行（项）:</w:t>
      </w:r>
      <w:r>
        <w:rPr>
          <w:rStyle w:val="20"/>
          <w:rFonts w:hint="default" w:ascii="Times New Roman" w:hAnsi="Times New Roman" w:eastAsia="方正仿宋_GBK" w:cs="Times New Roman"/>
          <w:b w:val="0"/>
          <w:bCs/>
          <w:color w:val="auto"/>
          <w:sz w:val="33"/>
          <w:szCs w:val="33"/>
          <w:highlight w:val="none"/>
        </w:rPr>
        <w:t>支出决算为207.22万元，完成预算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9</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（类）统战事务（款）一般行政管理事务（项）: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47.6</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10</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（类）统战事务（款）宗教事务（项）:</w:t>
      </w:r>
      <w:r>
        <w:rPr>
          <w:rStyle w:val="20"/>
          <w:rFonts w:hint="default" w:ascii="Times New Roman" w:hAnsi="Times New Roman" w:eastAsia="方正仿宋_GBK" w:cs="Times New Roman"/>
          <w:b w:val="0"/>
          <w:bCs/>
          <w:color w:val="auto"/>
          <w:sz w:val="33"/>
          <w:szCs w:val="33"/>
          <w:highlight w:val="none"/>
        </w:rPr>
        <w:t xml:space="preserve"> 支出决算为</w:t>
      </w:r>
      <w:r>
        <w:rPr>
          <w:rStyle w:val="20"/>
          <w:rFonts w:hint="default" w:ascii="Times New Roman" w:hAnsi="Times New Roman" w:eastAsia="方正仿宋_GBK" w:cs="Times New Roman"/>
          <w:b w:val="0"/>
          <w:bCs/>
          <w:color w:val="auto"/>
          <w:sz w:val="33"/>
          <w:szCs w:val="33"/>
          <w:highlight w:val="none"/>
          <w:lang w:val="en-US" w:eastAsia="zh-CN"/>
        </w:rPr>
        <w:t>38.37</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r>
        <w:rPr>
          <w:rStyle w:val="20"/>
          <w:rFonts w:hint="default" w:ascii="Times New Roman" w:hAnsi="Times New Roman" w:eastAsia="方正仿宋_GBK" w:cs="Times New Roman"/>
          <w:b w:val="0"/>
          <w:bCs/>
          <w:color w:val="auto"/>
          <w:sz w:val="33"/>
          <w:szCs w:val="33"/>
          <w:highlight w:val="none"/>
        </w:rPr>
        <w:t>。</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auto"/>
          <w:sz w:val="33"/>
          <w:szCs w:val="33"/>
          <w:highlight w:val="none"/>
          <w:lang w:val="en-US" w:eastAsia="zh-CN"/>
        </w:rPr>
        <w:t>11</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（类）统战事务（款）事业运行</w:t>
      </w:r>
      <w:r>
        <w:rPr>
          <w:rStyle w:val="20"/>
          <w:rFonts w:hint="default" w:ascii="Times New Roman" w:hAnsi="Times New Roman" w:eastAsia="方正仿宋_GBK" w:cs="Times New Roman"/>
          <w:bCs/>
          <w:color w:val="auto"/>
          <w:sz w:val="33"/>
          <w:szCs w:val="33"/>
          <w:highlight w:val="none"/>
          <w:lang w:eastAsia="zh-CN"/>
        </w:rPr>
        <w:t>（</w:t>
      </w:r>
      <w:r>
        <w:rPr>
          <w:rStyle w:val="20"/>
          <w:rFonts w:hint="default" w:ascii="Times New Roman" w:hAnsi="Times New Roman" w:eastAsia="方正仿宋_GBK" w:cs="Times New Roman"/>
          <w:bCs/>
          <w:color w:val="auto"/>
          <w:sz w:val="33"/>
          <w:szCs w:val="33"/>
          <w:highlight w:val="none"/>
          <w:lang w:val="en-US" w:eastAsia="zh-CN"/>
        </w:rPr>
        <w:t>项</w:t>
      </w:r>
      <w:r>
        <w:rPr>
          <w:rStyle w:val="20"/>
          <w:rFonts w:hint="default" w:ascii="Times New Roman" w:hAnsi="Times New Roman" w:eastAsia="方正仿宋_GBK" w:cs="Times New Roman"/>
          <w:bCs/>
          <w:color w:val="auto"/>
          <w:sz w:val="33"/>
          <w:szCs w:val="33"/>
          <w:highlight w:val="none"/>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19.83</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3" w:firstLineChars="200"/>
        <w:textAlignment w:val="auto"/>
        <w:rPr>
          <w:rFonts w:hint="default" w:ascii="Times New Roman" w:hAnsi="Times New Roman" w:eastAsia="方正仿宋_GBK" w:cs="Times New Roman"/>
          <w:sz w:val="33"/>
          <w:szCs w:val="33"/>
          <w:lang w:eastAsia="zh-CN"/>
        </w:rPr>
      </w:pPr>
      <w:r>
        <w:rPr>
          <w:rStyle w:val="20"/>
          <w:rFonts w:hint="default" w:ascii="Times New Roman" w:hAnsi="Times New Roman" w:eastAsia="方正仿宋_GBK" w:cs="Times New Roman"/>
          <w:bCs/>
          <w:color w:val="auto"/>
          <w:sz w:val="33"/>
          <w:szCs w:val="33"/>
          <w:highlight w:val="none"/>
          <w:lang w:val="en-US" w:eastAsia="zh-CN"/>
        </w:rPr>
        <w:t>12</w:t>
      </w:r>
      <w:r>
        <w:rPr>
          <w:rStyle w:val="20"/>
          <w:rFonts w:hint="default" w:ascii="Times New Roman" w:hAnsi="Times New Roman" w:eastAsia="方正仿宋_GBK" w:cs="Times New Roman"/>
          <w:bCs/>
          <w:color w:val="auto"/>
          <w:sz w:val="33"/>
          <w:szCs w:val="33"/>
          <w:highlight w:val="none"/>
        </w:rPr>
        <w:t>.一般公共服务</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（类）统战事务（款）其他统战事务支出</w:t>
      </w:r>
      <w:r>
        <w:rPr>
          <w:rStyle w:val="20"/>
          <w:rFonts w:hint="default" w:ascii="Times New Roman" w:hAnsi="Times New Roman" w:eastAsia="方正仿宋_GBK" w:cs="Times New Roman"/>
          <w:bCs/>
          <w:color w:val="auto"/>
          <w:sz w:val="33"/>
          <w:szCs w:val="33"/>
          <w:highlight w:val="none"/>
          <w:lang w:eastAsia="zh-CN"/>
        </w:rPr>
        <w:t>（</w:t>
      </w:r>
      <w:r>
        <w:rPr>
          <w:rStyle w:val="20"/>
          <w:rFonts w:hint="default" w:ascii="Times New Roman" w:hAnsi="Times New Roman" w:eastAsia="方正仿宋_GBK" w:cs="Times New Roman"/>
          <w:bCs/>
          <w:color w:val="auto"/>
          <w:sz w:val="33"/>
          <w:szCs w:val="33"/>
          <w:highlight w:val="none"/>
          <w:lang w:val="en-US" w:eastAsia="zh-CN"/>
        </w:rPr>
        <w:t>项</w:t>
      </w:r>
      <w:r>
        <w:rPr>
          <w:rStyle w:val="20"/>
          <w:rFonts w:hint="default" w:ascii="Times New Roman" w:hAnsi="Times New Roman" w:eastAsia="方正仿宋_GBK" w:cs="Times New Roman"/>
          <w:bCs/>
          <w:color w:val="auto"/>
          <w:sz w:val="33"/>
          <w:szCs w:val="33"/>
          <w:highlight w:val="none"/>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2.46</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w:t>
      </w:r>
      <w:r>
        <w:rPr>
          <w:rStyle w:val="20"/>
          <w:rFonts w:hint="default" w:ascii="Times New Roman" w:hAnsi="Times New Roman" w:eastAsia="方正仿宋_GBK" w:cs="Times New Roman"/>
          <w:b w:val="0"/>
          <w:bCs/>
          <w:color w:val="auto"/>
          <w:sz w:val="33"/>
          <w:szCs w:val="33"/>
          <w:highlight w:val="none"/>
          <w:lang w:val="en-US" w:eastAsia="zh-CN"/>
        </w:rPr>
        <w:t>预算数。</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000000"/>
          <w:sz w:val="33"/>
          <w:szCs w:val="33"/>
          <w:lang w:val="en-US" w:eastAsia="zh-CN"/>
        </w:rPr>
        <w:t>13.</w:t>
      </w:r>
      <w:r>
        <w:rPr>
          <w:rStyle w:val="20"/>
          <w:rFonts w:hint="default" w:ascii="Times New Roman" w:hAnsi="Times New Roman" w:eastAsia="方正仿宋_GBK" w:cs="Times New Roman"/>
          <w:bCs/>
          <w:color w:val="000000"/>
          <w:sz w:val="33"/>
          <w:szCs w:val="33"/>
        </w:rPr>
        <w:t>社会保障和就业</w:t>
      </w:r>
      <w:r>
        <w:rPr>
          <w:rStyle w:val="20"/>
          <w:rFonts w:hint="eastAsia" w:ascii="Times New Roman" w:eastAsia="方正仿宋_GBK" w:cs="Times New Roman"/>
          <w:bCs/>
          <w:color w:val="000000"/>
          <w:sz w:val="33"/>
          <w:szCs w:val="33"/>
          <w:lang w:val="en-US" w:eastAsia="zh-CN"/>
        </w:rPr>
        <w:t>支出</w:t>
      </w:r>
      <w:r>
        <w:rPr>
          <w:rStyle w:val="20"/>
          <w:rFonts w:hint="default" w:ascii="Times New Roman" w:hAnsi="Times New Roman" w:eastAsia="方正仿宋_GBK" w:cs="Times New Roman"/>
          <w:bCs/>
          <w:color w:val="000000"/>
          <w:sz w:val="33"/>
          <w:szCs w:val="33"/>
        </w:rPr>
        <w:t>（类）行政事业单位养老支出（款）行政单位离退休（项）</w:t>
      </w:r>
      <w:r>
        <w:rPr>
          <w:rStyle w:val="20"/>
          <w:rFonts w:hint="default" w:ascii="Times New Roman" w:hAnsi="Times New Roman" w:eastAsia="方正仿宋_GBK" w:cs="Times New Roman"/>
          <w:bCs/>
          <w:color w:val="000000"/>
          <w:sz w:val="33"/>
          <w:szCs w:val="33"/>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ascii="Times New Roman" w:eastAsia="方正仿宋_GBK" w:cs="Times New Roman"/>
          <w:b w:val="0"/>
          <w:bCs/>
          <w:color w:val="auto"/>
          <w:sz w:val="33"/>
          <w:szCs w:val="33"/>
          <w:highlight w:val="none"/>
          <w:lang w:val="en-US" w:eastAsia="zh-CN"/>
        </w:rPr>
        <w:t>5.8</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default" w:ascii="Times New Roman" w:hAnsi="Times New Roman" w:eastAsia="方正仿宋_GBK" w:cs="Times New Roman"/>
          <w:bCs/>
          <w:color w:val="000000"/>
          <w:sz w:val="33"/>
          <w:szCs w:val="33"/>
          <w:lang w:val="en-US" w:eastAsia="zh-CN"/>
        </w:rPr>
        <w:t>1</w:t>
      </w:r>
      <w:r>
        <w:rPr>
          <w:rStyle w:val="20"/>
          <w:rFonts w:hint="eastAsia" w:ascii="Times New Roman" w:eastAsia="方正仿宋_GBK" w:cs="Times New Roman"/>
          <w:bCs/>
          <w:color w:val="000000"/>
          <w:sz w:val="33"/>
          <w:szCs w:val="33"/>
          <w:lang w:val="en-US" w:eastAsia="zh-CN"/>
        </w:rPr>
        <w:t>4</w:t>
      </w:r>
      <w:r>
        <w:rPr>
          <w:rStyle w:val="20"/>
          <w:rFonts w:hint="default" w:ascii="Times New Roman" w:hAnsi="Times New Roman" w:eastAsia="方正仿宋_GBK" w:cs="Times New Roman"/>
          <w:bCs/>
          <w:color w:val="000000"/>
          <w:sz w:val="33"/>
          <w:szCs w:val="33"/>
          <w:lang w:val="en-US" w:eastAsia="zh-CN"/>
        </w:rPr>
        <w:t>.</w:t>
      </w:r>
      <w:r>
        <w:rPr>
          <w:rStyle w:val="20"/>
          <w:rFonts w:hint="default" w:ascii="Times New Roman" w:hAnsi="Times New Roman" w:eastAsia="方正仿宋_GBK" w:cs="Times New Roman"/>
          <w:bCs/>
          <w:color w:val="000000"/>
          <w:sz w:val="33"/>
          <w:szCs w:val="33"/>
        </w:rPr>
        <w:t>社会保障和就业</w:t>
      </w:r>
      <w:r>
        <w:rPr>
          <w:rStyle w:val="20"/>
          <w:rFonts w:hint="eastAsia" w:ascii="Times New Roman" w:eastAsia="方正仿宋_GBK" w:cs="Times New Roman"/>
          <w:bCs/>
          <w:color w:val="000000"/>
          <w:sz w:val="33"/>
          <w:szCs w:val="33"/>
          <w:lang w:val="en-US" w:eastAsia="zh-CN"/>
        </w:rPr>
        <w:t>支出</w:t>
      </w:r>
      <w:r>
        <w:rPr>
          <w:rStyle w:val="20"/>
          <w:rFonts w:hint="default" w:ascii="Times New Roman" w:hAnsi="Times New Roman" w:eastAsia="方正仿宋_GBK" w:cs="Times New Roman"/>
          <w:bCs/>
          <w:color w:val="000000"/>
          <w:sz w:val="33"/>
          <w:szCs w:val="33"/>
        </w:rPr>
        <w:t>（类）行政事业单位养老支出（款）机关事业单位基本养老保险缴费支出（项）</w:t>
      </w:r>
      <w:r>
        <w:rPr>
          <w:rStyle w:val="20"/>
          <w:rFonts w:hint="default" w:ascii="Times New Roman" w:hAnsi="Times New Roman" w:eastAsia="方正仿宋_GBK" w:cs="Times New Roman"/>
          <w:bCs/>
          <w:color w:val="000000"/>
          <w:sz w:val="33"/>
          <w:szCs w:val="33"/>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16.67</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Cs/>
          <w:color w:val="auto"/>
          <w:sz w:val="33"/>
          <w:szCs w:val="33"/>
          <w:highlight w:val="none"/>
          <w:lang w:val="en-US" w:eastAsia="zh-CN"/>
        </w:rPr>
      </w:pPr>
      <w:r>
        <w:rPr>
          <w:rStyle w:val="20"/>
          <w:rFonts w:hint="default" w:ascii="Times New Roman" w:hAnsi="Times New Roman" w:eastAsia="方正仿宋_GBK" w:cs="Times New Roman"/>
          <w:bCs/>
          <w:color w:val="000000"/>
          <w:sz w:val="33"/>
          <w:szCs w:val="33"/>
          <w:lang w:val="en-US" w:eastAsia="zh-CN"/>
        </w:rPr>
        <w:t>1</w:t>
      </w:r>
      <w:r>
        <w:rPr>
          <w:rStyle w:val="20"/>
          <w:rFonts w:hint="eastAsia" w:eastAsia="方正仿宋_GBK" w:cs="Times New Roman"/>
          <w:bCs/>
          <w:color w:val="000000"/>
          <w:sz w:val="33"/>
          <w:szCs w:val="33"/>
          <w:lang w:val="en-US" w:eastAsia="zh-CN"/>
        </w:rPr>
        <w:t>5</w:t>
      </w:r>
      <w:r>
        <w:rPr>
          <w:rStyle w:val="20"/>
          <w:rFonts w:hint="default" w:ascii="Times New Roman" w:hAnsi="Times New Roman" w:eastAsia="方正仿宋_GBK" w:cs="Times New Roman"/>
          <w:bCs/>
          <w:color w:val="000000"/>
          <w:sz w:val="33"/>
          <w:szCs w:val="33"/>
          <w:lang w:val="en-US" w:eastAsia="zh-CN"/>
        </w:rPr>
        <w:t>.</w:t>
      </w:r>
      <w:r>
        <w:rPr>
          <w:rStyle w:val="20"/>
          <w:rFonts w:hint="default" w:ascii="Times New Roman" w:hAnsi="Times New Roman" w:eastAsia="方正仿宋_GBK" w:cs="Times New Roman"/>
          <w:bCs/>
          <w:color w:val="000000"/>
          <w:sz w:val="33"/>
          <w:szCs w:val="33"/>
        </w:rPr>
        <w:t>社会保障和就业</w:t>
      </w:r>
      <w:r>
        <w:rPr>
          <w:rStyle w:val="20"/>
          <w:rFonts w:hint="eastAsia" w:ascii="Times New Roman" w:eastAsia="方正仿宋_GBK" w:cs="Times New Roman"/>
          <w:bCs/>
          <w:color w:val="000000"/>
          <w:sz w:val="33"/>
          <w:szCs w:val="33"/>
          <w:lang w:val="en-US" w:eastAsia="zh-CN"/>
        </w:rPr>
        <w:t>支出</w:t>
      </w:r>
      <w:r>
        <w:rPr>
          <w:rStyle w:val="20"/>
          <w:rFonts w:hint="default" w:ascii="Times New Roman" w:hAnsi="Times New Roman" w:eastAsia="方正仿宋_GBK" w:cs="Times New Roman"/>
          <w:bCs/>
          <w:color w:val="000000"/>
          <w:sz w:val="33"/>
          <w:szCs w:val="33"/>
        </w:rPr>
        <w:t>（类）</w:t>
      </w:r>
      <w:r>
        <w:rPr>
          <w:rStyle w:val="20"/>
          <w:rFonts w:hint="default" w:ascii="Times New Roman" w:hAnsi="Times New Roman" w:eastAsia="方正仿宋_GBK" w:cs="Times New Roman"/>
          <w:bCs/>
          <w:color w:val="auto"/>
          <w:sz w:val="33"/>
          <w:szCs w:val="33"/>
          <w:highlight w:val="none"/>
          <w:lang w:val="en-US" w:eastAsia="zh-CN"/>
        </w:rPr>
        <w:t>残疾人事业</w:t>
      </w:r>
      <w:r>
        <w:rPr>
          <w:rStyle w:val="20"/>
          <w:rFonts w:hint="default" w:ascii="Times New Roman" w:hAnsi="Times New Roman" w:eastAsia="方正仿宋_GBK" w:cs="Times New Roman"/>
          <w:bCs/>
          <w:color w:val="000000"/>
          <w:sz w:val="33"/>
          <w:szCs w:val="33"/>
        </w:rPr>
        <w:t>（款）其他残疾人事业支出（项）</w:t>
      </w:r>
      <w:r>
        <w:rPr>
          <w:rStyle w:val="20"/>
          <w:rFonts w:hint="default" w:ascii="Times New Roman" w:hAnsi="Times New Roman" w:eastAsia="方正仿宋_GBK" w:cs="Times New Roman"/>
          <w:bCs/>
          <w:color w:val="000000"/>
          <w:sz w:val="33"/>
          <w:szCs w:val="33"/>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1.12</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Cs/>
          <w:color w:val="auto"/>
          <w:sz w:val="33"/>
          <w:szCs w:val="33"/>
          <w:highlight w:val="none"/>
          <w:lang w:val="en-US" w:eastAsia="zh-CN"/>
        </w:rPr>
      </w:pPr>
      <w:r>
        <w:rPr>
          <w:rStyle w:val="20"/>
          <w:rFonts w:hint="default" w:ascii="Times New Roman" w:hAnsi="Times New Roman" w:eastAsia="方正仿宋_GBK" w:cs="Times New Roman"/>
          <w:bCs/>
          <w:color w:val="000000"/>
          <w:sz w:val="33"/>
          <w:szCs w:val="33"/>
          <w:lang w:val="en-US" w:eastAsia="zh-CN"/>
        </w:rPr>
        <w:t>1</w:t>
      </w:r>
      <w:r>
        <w:rPr>
          <w:rStyle w:val="20"/>
          <w:rFonts w:hint="eastAsia" w:eastAsia="方正仿宋_GBK" w:cs="Times New Roman"/>
          <w:bCs/>
          <w:color w:val="000000"/>
          <w:sz w:val="33"/>
          <w:szCs w:val="33"/>
          <w:lang w:val="en-US" w:eastAsia="zh-CN"/>
        </w:rPr>
        <w:t>6</w:t>
      </w:r>
      <w:r>
        <w:rPr>
          <w:rStyle w:val="20"/>
          <w:rFonts w:hint="default" w:ascii="Times New Roman" w:hAnsi="Times New Roman" w:eastAsia="方正仿宋_GBK" w:cs="Times New Roman"/>
          <w:bCs/>
          <w:color w:val="000000"/>
          <w:sz w:val="33"/>
          <w:szCs w:val="33"/>
          <w:lang w:val="en-US" w:eastAsia="zh-CN"/>
        </w:rPr>
        <w:t>.</w:t>
      </w:r>
      <w:r>
        <w:rPr>
          <w:rStyle w:val="20"/>
          <w:rFonts w:hint="default" w:ascii="Times New Roman" w:hAnsi="Times New Roman" w:eastAsia="方正仿宋_GBK" w:cs="Times New Roman"/>
          <w:bCs/>
          <w:color w:val="000000"/>
          <w:sz w:val="33"/>
          <w:szCs w:val="33"/>
        </w:rPr>
        <w:t>社会保障和就业</w:t>
      </w:r>
      <w:r>
        <w:rPr>
          <w:rStyle w:val="20"/>
          <w:rFonts w:hint="eastAsia" w:ascii="Times New Roman" w:eastAsia="方正仿宋_GBK" w:cs="Times New Roman"/>
          <w:bCs/>
          <w:color w:val="000000"/>
          <w:sz w:val="33"/>
          <w:szCs w:val="33"/>
          <w:lang w:val="en-US" w:eastAsia="zh-CN"/>
        </w:rPr>
        <w:t>支出</w:t>
      </w:r>
      <w:r>
        <w:rPr>
          <w:rStyle w:val="20"/>
          <w:rFonts w:hint="default" w:ascii="Times New Roman" w:hAnsi="Times New Roman" w:eastAsia="方正仿宋_GBK" w:cs="Times New Roman"/>
          <w:bCs/>
          <w:color w:val="000000"/>
          <w:sz w:val="33"/>
          <w:szCs w:val="33"/>
        </w:rPr>
        <w:t>（类）</w:t>
      </w:r>
      <w:r>
        <w:rPr>
          <w:rStyle w:val="20"/>
          <w:rFonts w:hint="default" w:ascii="Times New Roman" w:hAnsi="Times New Roman" w:eastAsia="方正仿宋_GBK" w:cs="Times New Roman"/>
          <w:bCs/>
          <w:color w:val="auto"/>
          <w:sz w:val="33"/>
          <w:szCs w:val="33"/>
          <w:highlight w:val="none"/>
          <w:lang w:val="en-US" w:eastAsia="zh-CN"/>
        </w:rPr>
        <w:t>其他社会保障和就业支出</w:t>
      </w:r>
      <w:r>
        <w:rPr>
          <w:rStyle w:val="20"/>
          <w:rFonts w:hint="default" w:ascii="Times New Roman" w:hAnsi="Times New Roman" w:eastAsia="方正仿宋_GBK" w:cs="Times New Roman"/>
          <w:bCs/>
          <w:color w:val="000000"/>
          <w:sz w:val="33"/>
          <w:szCs w:val="33"/>
        </w:rPr>
        <w:t>（款）</w:t>
      </w:r>
      <w:r>
        <w:rPr>
          <w:rStyle w:val="20"/>
          <w:rFonts w:hint="default" w:ascii="Times New Roman" w:hAnsi="Times New Roman" w:eastAsia="方正仿宋_GBK" w:cs="Times New Roman"/>
          <w:bCs/>
          <w:color w:val="auto"/>
          <w:sz w:val="33"/>
          <w:szCs w:val="33"/>
          <w:highlight w:val="none"/>
          <w:lang w:val="en-US" w:eastAsia="zh-CN"/>
        </w:rPr>
        <w:t>其他社会保障和就业支出</w:t>
      </w:r>
      <w:r>
        <w:rPr>
          <w:rStyle w:val="20"/>
          <w:rFonts w:hint="default" w:ascii="Times New Roman" w:hAnsi="Times New Roman" w:eastAsia="方正仿宋_GBK" w:cs="Times New Roman"/>
          <w:bCs/>
          <w:color w:val="000000"/>
          <w:sz w:val="33"/>
          <w:szCs w:val="33"/>
        </w:rPr>
        <w:t>（项）</w:t>
      </w:r>
      <w:r>
        <w:rPr>
          <w:rStyle w:val="20"/>
          <w:rFonts w:hint="eastAsia" w:eastAsia="方正仿宋_GBK" w:cs="Times New Roman"/>
          <w:bCs/>
          <w:color w:val="000000"/>
          <w:sz w:val="33"/>
          <w:szCs w:val="33"/>
          <w:lang w:eastAsia="zh-CN"/>
        </w:rPr>
        <w:t>：</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0.13</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Cs/>
          <w:color w:val="auto"/>
          <w:sz w:val="33"/>
          <w:szCs w:val="33"/>
          <w:highlight w:val="none"/>
          <w:lang w:val="en-US" w:eastAsia="zh-CN"/>
        </w:rPr>
      </w:pPr>
      <w:r>
        <w:rPr>
          <w:rStyle w:val="20"/>
          <w:rFonts w:hint="default" w:ascii="Times New Roman" w:hAnsi="Times New Roman" w:eastAsia="方正仿宋_GBK" w:cs="Times New Roman"/>
          <w:bCs/>
          <w:color w:val="auto"/>
          <w:sz w:val="33"/>
          <w:szCs w:val="33"/>
          <w:highlight w:val="none"/>
          <w:lang w:val="en-US" w:eastAsia="zh-CN"/>
        </w:rPr>
        <w:t>1</w:t>
      </w:r>
      <w:r>
        <w:rPr>
          <w:rStyle w:val="20"/>
          <w:rFonts w:hint="eastAsia" w:eastAsia="方正仿宋_GBK" w:cs="Times New Roman"/>
          <w:bCs/>
          <w:color w:val="auto"/>
          <w:sz w:val="33"/>
          <w:szCs w:val="33"/>
          <w:highlight w:val="none"/>
          <w:lang w:val="en-US" w:eastAsia="zh-CN"/>
        </w:rPr>
        <w:t>7</w:t>
      </w:r>
      <w:r>
        <w:rPr>
          <w:rStyle w:val="20"/>
          <w:rFonts w:hint="default" w:ascii="Times New Roman" w:hAnsi="Times New Roman" w:eastAsia="方正仿宋_GBK" w:cs="Times New Roman"/>
          <w:bCs/>
          <w:color w:val="auto"/>
          <w:sz w:val="33"/>
          <w:szCs w:val="33"/>
          <w:highlight w:val="none"/>
        </w:rPr>
        <w:t>.卫生健康</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（类）公共卫生（款）突发公共卫生事件应急处理（项）: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20</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eastAsia="zh-CN"/>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Cs/>
          <w:color w:val="auto"/>
          <w:sz w:val="33"/>
          <w:szCs w:val="33"/>
          <w:highlight w:val="none"/>
          <w:lang w:val="en-US" w:eastAsia="zh-CN"/>
        </w:rPr>
      </w:pPr>
      <w:r>
        <w:rPr>
          <w:rStyle w:val="20"/>
          <w:rFonts w:hint="default" w:ascii="Times New Roman" w:hAnsi="Times New Roman" w:eastAsia="方正仿宋_GBK" w:cs="Times New Roman"/>
          <w:bCs/>
          <w:color w:val="auto"/>
          <w:sz w:val="33"/>
          <w:szCs w:val="33"/>
          <w:highlight w:val="none"/>
          <w:lang w:val="en-US" w:eastAsia="zh-CN"/>
        </w:rPr>
        <w:t>1</w:t>
      </w:r>
      <w:r>
        <w:rPr>
          <w:rStyle w:val="20"/>
          <w:rFonts w:hint="eastAsia" w:eastAsia="方正仿宋_GBK" w:cs="Times New Roman"/>
          <w:bCs/>
          <w:color w:val="auto"/>
          <w:sz w:val="33"/>
          <w:szCs w:val="33"/>
          <w:highlight w:val="none"/>
          <w:lang w:val="en-US" w:eastAsia="zh-CN"/>
        </w:rPr>
        <w:t>8</w:t>
      </w:r>
      <w:r>
        <w:rPr>
          <w:rStyle w:val="20"/>
          <w:rFonts w:hint="default" w:ascii="Times New Roman" w:hAnsi="Times New Roman" w:eastAsia="方正仿宋_GBK" w:cs="Times New Roman"/>
          <w:bCs/>
          <w:color w:val="auto"/>
          <w:sz w:val="33"/>
          <w:szCs w:val="33"/>
          <w:highlight w:val="none"/>
        </w:rPr>
        <w:t>.卫生健康</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（类）行政事业单位医疗（款）行政单位医疗（项）: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7.41</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lang w:val="en-US" w:eastAsia="zh-CN"/>
        </w:rPr>
      </w:pPr>
      <w:r>
        <w:rPr>
          <w:rStyle w:val="20"/>
          <w:rFonts w:hint="default" w:ascii="Times New Roman" w:hAnsi="Times New Roman" w:eastAsia="方正仿宋_GBK" w:cs="Times New Roman"/>
          <w:bCs/>
          <w:color w:val="auto"/>
          <w:sz w:val="33"/>
          <w:szCs w:val="33"/>
          <w:highlight w:val="none"/>
          <w:lang w:val="en-US" w:eastAsia="zh-CN"/>
        </w:rPr>
        <w:t>1</w:t>
      </w:r>
      <w:r>
        <w:rPr>
          <w:rStyle w:val="20"/>
          <w:rFonts w:hint="eastAsia" w:eastAsia="方正仿宋_GBK" w:cs="Times New Roman"/>
          <w:bCs/>
          <w:color w:val="auto"/>
          <w:sz w:val="33"/>
          <w:szCs w:val="33"/>
          <w:highlight w:val="none"/>
          <w:lang w:val="en-US" w:eastAsia="zh-CN"/>
        </w:rPr>
        <w:t>9</w:t>
      </w:r>
      <w:r>
        <w:rPr>
          <w:rStyle w:val="20"/>
          <w:rFonts w:hint="default" w:ascii="Times New Roman" w:hAnsi="Times New Roman" w:eastAsia="方正仿宋_GBK" w:cs="Times New Roman"/>
          <w:bCs/>
          <w:color w:val="auto"/>
          <w:sz w:val="33"/>
          <w:szCs w:val="33"/>
          <w:highlight w:val="none"/>
        </w:rPr>
        <w:t>.卫生健康</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（类）行政事业单位医疗（款）事业单位医疗（项）: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0.12</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lang w:val="en-US" w:eastAsia="zh-CN"/>
        </w:rPr>
      </w:pPr>
      <w:r>
        <w:rPr>
          <w:rStyle w:val="20"/>
          <w:rFonts w:hint="eastAsia" w:eastAsia="方正仿宋_GBK" w:cs="Times New Roman"/>
          <w:bCs/>
          <w:color w:val="auto"/>
          <w:sz w:val="33"/>
          <w:szCs w:val="33"/>
          <w:highlight w:val="none"/>
          <w:lang w:val="en-US" w:eastAsia="zh-CN"/>
        </w:rPr>
        <w:t>20</w:t>
      </w:r>
      <w:r>
        <w:rPr>
          <w:rStyle w:val="20"/>
          <w:rFonts w:hint="default" w:ascii="Times New Roman" w:hAnsi="Times New Roman" w:eastAsia="方正仿宋_GBK" w:cs="Times New Roman"/>
          <w:bCs/>
          <w:color w:val="auto"/>
          <w:sz w:val="33"/>
          <w:szCs w:val="33"/>
          <w:highlight w:val="none"/>
        </w:rPr>
        <w:t>.卫生健康</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（类）行政事业单位医疗（款）公务员医疗补助（项）: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2.44</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Style w:val="20"/>
          <w:rFonts w:hint="default" w:ascii="Times New Roman" w:hAnsi="Times New Roman" w:eastAsia="方正仿宋_GBK" w:cs="Times New Roman"/>
          <w:b w:val="0"/>
          <w:bCs/>
          <w:color w:val="auto"/>
          <w:sz w:val="33"/>
          <w:szCs w:val="33"/>
          <w:highlight w:val="none"/>
          <w:lang w:val="en-US" w:eastAsia="zh-CN"/>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color w:val="auto"/>
          <w:sz w:val="33"/>
          <w:szCs w:val="33"/>
          <w:highlight w:val="none"/>
        </w:rPr>
      </w:pPr>
      <w:r>
        <w:rPr>
          <w:rStyle w:val="20"/>
          <w:rFonts w:hint="eastAsia" w:eastAsia="方正仿宋_GBK" w:cs="Times New Roman"/>
          <w:bCs/>
          <w:color w:val="auto"/>
          <w:sz w:val="33"/>
          <w:szCs w:val="33"/>
          <w:highlight w:val="none"/>
          <w:lang w:val="en-US" w:eastAsia="zh-CN"/>
        </w:rPr>
        <w:t>21</w:t>
      </w:r>
      <w:r>
        <w:rPr>
          <w:rStyle w:val="20"/>
          <w:rFonts w:hint="default" w:ascii="Times New Roman" w:hAnsi="Times New Roman" w:eastAsia="方正仿宋_GBK" w:cs="Times New Roman"/>
          <w:bCs/>
          <w:color w:val="auto"/>
          <w:sz w:val="33"/>
          <w:szCs w:val="33"/>
          <w:highlight w:val="none"/>
        </w:rPr>
        <w:t>.农林水</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（类）巩固脱贫衔接乡村振兴（款）贷款奖补和贴息（项）: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10</w:t>
      </w:r>
      <w:r>
        <w:rPr>
          <w:rStyle w:val="20"/>
          <w:rFonts w:hint="eastAsia" w:eastAsia="方正仿宋_GBK" w:cs="Times New Roman"/>
          <w:b w:val="0"/>
          <w:bCs/>
          <w:color w:val="auto"/>
          <w:sz w:val="33"/>
          <w:szCs w:val="33"/>
          <w:highlight w:val="none"/>
          <w:lang w:val="en-US" w:eastAsia="zh-CN"/>
        </w:rPr>
        <w:t>0</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Style w:val="20"/>
          <w:rFonts w:hint="default" w:ascii="Times New Roman" w:hAnsi="Times New Roman" w:eastAsia="方正仿宋_GBK" w:cs="Times New Roman"/>
          <w:b w:val="0"/>
          <w:bCs/>
          <w:color w:val="auto"/>
          <w:sz w:val="33"/>
          <w:szCs w:val="33"/>
          <w:highlight w:val="none"/>
        </w:rPr>
      </w:pPr>
      <w:r>
        <w:rPr>
          <w:rStyle w:val="20"/>
          <w:rFonts w:hint="eastAsia" w:eastAsia="方正仿宋_GBK" w:cs="Times New Roman"/>
          <w:bCs/>
          <w:color w:val="auto"/>
          <w:sz w:val="33"/>
          <w:szCs w:val="33"/>
          <w:highlight w:val="none"/>
          <w:lang w:val="en-US" w:eastAsia="zh-CN"/>
        </w:rPr>
        <w:t>22</w:t>
      </w:r>
      <w:r>
        <w:rPr>
          <w:rStyle w:val="20"/>
          <w:rFonts w:hint="default" w:ascii="Times New Roman" w:hAnsi="Times New Roman" w:eastAsia="方正仿宋_GBK" w:cs="Times New Roman"/>
          <w:bCs/>
          <w:color w:val="auto"/>
          <w:sz w:val="33"/>
          <w:szCs w:val="33"/>
          <w:highlight w:val="none"/>
        </w:rPr>
        <w:t>.农林水</w:t>
      </w:r>
      <w:r>
        <w:rPr>
          <w:rStyle w:val="20"/>
          <w:rFonts w:hint="eastAsia" w:eastAsia="方正仿宋_GBK" w:cs="Times New Roman"/>
          <w:bCs/>
          <w:color w:val="auto"/>
          <w:sz w:val="33"/>
          <w:szCs w:val="33"/>
          <w:highlight w:val="none"/>
          <w:lang w:val="en-US" w:eastAsia="zh-CN"/>
        </w:rPr>
        <w:t>支出</w:t>
      </w:r>
      <w:r>
        <w:rPr>
          <w:rStyle w:val="20"/>
          <w:rFonts w:hint="default" w:ascii="Times New Roman" w:hAnsi="Times New Roman" w:eastAsia="方正仿宋_GBK" w:cs="Times New Roman"/>
          <w:bCs/>
          <w:color w:val="auto"/>
          <w:sz w:val="33"/>
          <w:szCs w:val="33"/>
          <w:highlight w:val="none"/>
        </w:rPr>
        <w:t>（类）巩固脱贫衔接乡村振兴（款）其他巩固脱贫衔接乡村振兴支出（项）: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eastAsia" w:eastAsia="方正仿宋_GBK" w:cs="Times New Roman"/>
          <w:b w:val="0"/>
          <w:bCs/>
          <w:color w:val="auto"/>
          <w:sz w:val="33"/>
          <w:szCs w:val="33"/>
          <w:highlight w:val="none"/>
          <w:lang w:val="en-US" w:eastAsia="zh-CN"/>
        </w:rPr>
        <w:t>6.69</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%，决算数等于预算数。</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Times New Roman"/>
          <w:b/>
          <w:color w:val="auto"/>
          <w:sz w:val="33"/>
          <w:szCs w:val="33"/>
          <w:highlight w:val="none"/>
        </w:rPr>
      </w:pPr>
      <w:r>
        <w:rPr>
          <w:rStyle w:val="20"/>
          <w:rFonts w:hint="eastAsia" w:eastAsia="方正仿宋_GBK" w:cs="Times New Roman"/>
          <w:bCs/>
          <w:color w:val="auto"/>
          <w:sz w:val="33"/>
          <w:szCs w:val="33"/>
          <w:highlight w:val="none"/>
          <w:lang w:val="en-US" w:eastAsia="zh-CN"/>
        </w:rPr>
        <w:t>23</w:t>
      </w:r>
      <w:r>
        <w:rPr>
          <w:rStyle w:val="20"/>
          <w:rFonts w:hint="default" w:ascii="Times New Roman" w:hAnsi="Times New Roman" w:eastAsia="方正仿宋_GBK" w:cs="Times New Roman"/>
          <w:bCs/>
          <w:color w:val="auto"/>
          <w:sz w:val="33"/>
          <w:szCs w:val="33"/>
          <w:highlight w:val="none"/>
        </w:rPr>
        <w:t>.</w:t>
      </w:r>
      <w:r>
        <w:rPr>
          <w:rStyle w:val="20"/>
          <w:rFonts w:hint="eastAsia" w:eastAsia="方正仿宋_GBK" w:cs="Times New Roman"/>
          <w:bCs/>
          <w:color w:val="auto"/>
          <w:sz w:val="33"/>
          <w:szCs w:val="33"/>
          <w:highlight w:val="none"/>
          <w:lang w:val="en-US" w:eastAsia="zh-CN"/>
        </w:rPr>
        <w:t>住房保障支出</w:t>
      </w:r>
      <w:r>
        <w:rPr>
          <w:rStyle w:val="20"/>
          <w:rFonts w:hint="default" w:ascii="Times New Roman" w:hAnsi="Times New Roman" w:eastAsia="方正仿宋_GBK" w:cs="Times New Roman"/>
          <w:bCs/>
          <w:color w:val="auto"/>
          <w:sz w:val="33"/>
          <w:szCs w:val="33"/>
          <w:highlight w:val="none"/>
        </w:rPr>
        <w:t>（类）住房改革支出（款）</w:t>
      </w:r>
      <w:r>
        <w:rPr>
          <w:rStyle w:val="20"/>
          <w:rFonts w:hint="default" w:ascii="Times New Roman" w:hAnsi="Times New Roman" w:eastAsia="方正仿宋_GBK" w:cs="Times New Roman"/>
          <w:bCs/>
          <w:color w:val="auto"/>
          <w:sz w:val="33"/>
          <w:szCs w:val="33"/>
          <w:highlight w:val="none"/>
          <w:lang w:val="en-US" w:eastAsia="zh-CN"/>
        </w:rPr>
        <w:t>住房公积金</w:t>
      </w:r>
      <w:r>
        <w:rPr>
          <w:rStyle w:val="20"/>
          <w:rFonts w:hint="default" w:ascii="Times New Roman" w:hAnsi="Times New Roman" w:eastAsia="方正仿宋_GBK" w:cs="Times New Roman"/>
          <w:bCs/>
          <w:color w:val="auto"/>
          <w:sz w:val="33"/>
          <w:szCs w:val="33"/>
          <w:highlight w:val="none"/>
        </w:rPr>
        <w:t>（项）:</w:t>
      </w:r>
      <w:r>
        <w:rPr>
          <w:rStyle w:val="20"/>
          <w:rFonts w:hint="default" w:ascii="Times New Roman" w:hAnsi="Times New Roman" w:eastAsia="方正仿宋_GBK" w:cs="Times New Roman"/>
          <w:b w:val="0"/>
          <w:bCs/>
          <w:color w:val="auto"/>
          <w:sz w:val="33"/>
          <w:szCs w:val="33"/>
          <w:highlight w:val="none"/>
        </w:rPr>
        <w:t>支出决算为</w:t>
      </w:r>
      <w:r>
        <w:rPr>
          <w:rStyle w:val="20"/>
          <w:rFonts w:hint="default" w:ascii="Times New Roman" w:hAnsi="Times New Roman" w:eastAsia="方正仿宋_GBK" w:cs="Times New Roman"/>
          <w:b w:val="0"/>
          <w:bCs/>
          <w:color w:val="auto"/>
          <w:sz w:val="33"/>
          <w:szCs w:val="33"/>
          <w:highlight w:val="none"/>
          <w:lang w:val="en-US" w:eastAsia="zh-CN"/>
        </w:rPr>
        <w:t>12.5</w:t>
      </w:r>
      <w:r>
        <w:rPr>
          <w:rStyle w:val="20"/>
          <w:rFonts w:hint="default" w:ascii="Times New Roman" w:hAnsi="Times New Roman" w:eastAsia="方正仿宋_GBK" w:cs="Times New Roman"/>
          <w:b w:val="0"/>
          <w:bCs/>
          <w:color w:val="auto"/>
          <w:sz w:val="33"/>
          <w:szCs w:val="33"/>
          <w:highlight w:val="none"/>
        </w:rPr>
        <w:t>万元，完成预算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%，决算数</w:t>
      </w:r>
      <w:r>
        <w:rPr>
          <w:rStyle w:val="20"/>
          <w:rFonts w:hint="default" w:ascii="Times New Roman" w:hAnsi="Times New Roman" w:eastAsia="方正仿宋_GBK" w:cs="Times New Roman"/>
          <w:b w:val="0"/>
          <w:bCs/>
          <w:color w:val="auto"/>
          <w:sz w:val="33"/>
          <w:szCs w:val="33"/>
          <w:highlight w:val="none"/>
          <w:lang w:val="en-US" w:eastAsia="zh-CN"/>
        </w:rPr>
        <w:t>等于</w:t>
      </w:r>
      <w:r>
        <w:rPr>
          <w:rStyle w:val="20"/>
          <w:rFonts w:hint="default" w:ascii="Times New Roman" w:hAnsi="Times New Roman" w:eastAsia="方正仿宋_GBK" w:cs="Times New Roman"/>
          <w:b w:val="0"/>
          <w:bCs/>
          <w:color w:val="auto"/>
          <w:sz w:val="33"/>
          <w:szCs w:val="33"/>
          <w:highlight w:val="none"/>
        </w:rPr>
        <w:t>预算数。</w:t>
      </w:r>
    </w:p>
    <w:p>
      <w:pPr>
        <w:tabs>
          <w:tab w:val="right" w:pos="8306"/>
        </w:tabs>
        <w:spacing w:line="600" w:lineRule="exact"/>
        <w:ind w:firstLine="640"/>
        <w:outlineLvl w:val="1"/>
        <w:rPr>
          <w:rStyle w:val="32"/>
          <w:color w:val="auto"/>
          <w:highlight w:val="none"/>
        </w:rPr>
      </w:pPr>
      <w:bookmarkStart w:id="48" w:name="_Toc15377214"/>
      <w:bookmarkStart w:id="4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48"/>
      <w:bookmarkEnd w:id="49"/>
      <w:r>
        <w:rPr>
          <w:rStyle w:val="32"/>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90" w:lineRule="exact"/>
        <w:ind w:firstLine="646"/>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20</w:t>
      </w:r>
      <w:r>
        <w:rPr>
          <w:rFonts w:hint="default" w:ascii="Times New Roman" w:hAnsi="Times New Roman" w:eastAsia="方正仿宋_GBK" w:cs="Times New Roman"/>
          <w:color w:val="auto"/>
          <w:sz w:val="33"/>
          <w:szCs w:val="33"/>
          <w:highlight w:val="none"/>
          <w:lang w:val="en-US" w:eastAsia="zh-CN"/>
        </w:rPr>
        <w:t>22</w:t>
      </w:r>
      <w:r>
        <w:rPr>
          <w:rFonts w:hint="default" w:ascii="Times New Roman" w:hAnsi="Times New Roman" w:eastAsia="方正仿宋_GBK" w:cs="Times New Roman"/>
          <w:color w:val="auto"/>
          <w:sz w:val="33"/>
          <w:szCs w:val="33"/>
          <w:highlight w:val="none"/>
        </w:rPr>
        <w:t>年一般公共预算财政拨款基本支出</w:t>
      </w:r>
      <w:r>
        <w:rPr>
          <w:rFonts w:hint="default" w:ascii="Times New Roman" w:hAnsi="Times New Roman" w:eastAsia="方正仿宋_GBK" w:cs="Times New Roman"/>
          <w:color w:val="auto"/>
          <w:sz w:val="33"/>
          <w:szCs w:val="33"/>
          <w:highlight w:val="none"/>
          <w:lang w:val="en-US" w:eastAsia="zh-CN"/>
        </w:rPr>
        <w:t>279.57</w:t>
      </w:r>
      <w:r>
        <w:rPr>
          <w:rFonts w:hint="default" w:ascii="Times New Roman" w:hAnsi="Times New Roman" w:eastAsia="方正仿宋_GBK" w:cs="Times New Roman"/>
          <w:color w:val="auto"/>
          <w:sz w:val="33"/>
          <w:szCs w:val="33"/>
          <w:highlight w:val="none"/>
        </w:rPr>
        <w:t>万元，其中：</w:t>
      </w:r>
    </w:p>
    <w:p>
      <w:pPr>
        <w:keepNext w:val="0"/>
        <w:keepLines w:val="0"/>
        <w:pageBreakBefore w:val="0"/>
        <w:widowControl w:val="0"/>
        <w:kinsoku/>
        <w:wordWrap/>
        <w:overflowPunct/>
        <w:topLinePunct w:val="0"/>
        <w:autoSpaceDE/>
        <w:autoSpaceDN/>
        <w:bidi w:val="0"/>
        <w:adjustRightInd/>
        <w:snapToGrid/>
        <w:spacing w:line="590" w:lineRule="exact"/>
        <w:ind w:firstLine="646"/>
        <w:textAlignment w:val="auto"/>
        <w:rPr>
          <w:rFonts w:hint="default" w:ascii="Times New Roman" w:hAnsi="Times New Roman" w:eastAsia="方正仿宋_GBK" w:cs="Times New Roman"/>
          <w:b/>
          <w:color w:val="auto"/>
          <w:sz w:val="33"/>
          <w:szCs w:val="33"/>
          <w:highlight w:val="none"/>
        </w:rPr>
      </w:pPr>
      <w:r>
        <w:rPr>
          <w:rFonts w:hint="default" w:ascii="Times New Roman" w:hAnsi="Times New Roman" w:eastAsia="方正仿宋_GBK" w:cs="Times New Roman"/>
          <w:color w:val="auto"/>
          <w:sz w:val="33"/>
          <w:szCs w:val="33"/>
          <w:highlight w:val="none"/>
        </w:rPr>
        <w:t>人员经费257.15万元，主要包括：基本工资、津贴补贴、奖金、绩效工资、机关事业单位基本养老保险缴费、其他社会保障缴费、其他工资福利支出、生活补助、医疗费补助、住房公积金等。</w:t>
      </w:r>
      <w:r>
        <w:rPr>
          <w:rFonts w:hint="default" w:ascii="Times New Roman" w:hAnsi="Times New Roman" w:eastAsia="方正仿宋_GBK" w:cs="Times New Roman"/>
          <w:color w:val="auto"/>
          <w:sz w:val="33"/>
          <w:szCs w:val="33"/>
          <w:highlight w:val="none"/>
        </w:rPr>
        <w:br w:type="textWrapping"/>
      </w:r>
      <w:r>
        <w:rPr>
          <w:rFonts w:hint="default" w:ascii="Times New Roman" w:hAnsi="Times New Roman" w:eastAsia="方正仿宋_GBK" w:cs="Times New Roman"/>
          <w:color w:val="auto"/>
          <w:sz w:val="33"/>
          <w:szCs w:val="33"/>
          <w:highlight w:val="none"/>
        </w:rPr>
        <w:t>　　公用经费22.42万元，主要包括：办公费、电费、邮电费、差旅费、维修（护）费、租赁费、公务接待费、劳务费、工会经费、福利费其他交通费等。</w:t>
      </w:r>
    </w:p>
    <w:p>
      <w:pPr>
        <w:numPr>
          <w:ilvl w:val="0"/>
          <w:numId w:val="2"/>
        </w:numPr>
        <w:spacing w:line="600" w:lineRule="exact"/>
        <w:ind w:firstLine="640"/>
        <w:rPr>
          <w:rStyle w:val="32"/>
          <w:rFonts w:ascii="Times New Roman" w:hAnsi="Times New Roman" w:eastAsia="黑体" w:cs="Times New Roman"/>
          <w:b w:val="0"/>
        </w:rPr>
      </w:pPr>
      <w:bookmarkStart w:id="50" w:name="_Toc15377215"/>
      <w:bookmarkStart w:id="51" w:name="_Toc15396609"/>
      <w:r>
        <w:rPr>
          <w:rFonts w:eastAsia="黑体"/>
          <w:bCs/>
          <w:color w:val="000000"/>
          <w:sz w:val="32"/>
          <w:szCs w:val="32"/>
        </w:rPr>
        <w:t>一</w:t>
      </w:r>
      <w:r>
        <w:rPr>
          <w:rStyle w:val="32"/>
          <w:rFonts w:ascii="Times New Roman" w:hAnsi="Times New Roman" w:eastAsia="黑体" w:cs="Times New Roman"/>
          <w:b w:val="0"/>
        </w:rPr>
        <w:t>般公共预算财政拨款项目支出决算情况说明</w:t>
      </w:r>
    </w:p>
    <w:p>
      <w:pPr>
        <w:spacing w:line="600" w:lineRule="exact"/>
        <w:ind w:firstLine="645"/>
        <w:rPr>
          <w:rFonts w:hint="eastAsia" w:eastAsia="仿宋"/>
          <w:color w:val="000000"/>
          <w:sz w:val="32"/>
          <w:szCs w:val="32"/>
        </w:rPr>
      </w:pPr>
      <w:r>
        <w:rPr>
          <w:rFonts w:eastAsia="仿宋"/>
          <w:color w:val="000000"/>
          <w:sz w:val="32"/>
          <w:szCs w:val="32"/>
        </w:rPr>
        <w:t>2022年一般公共预算财政拨款项目支出</w:t>
      </w:r>
      <w:r>
        <w:rPr>
          <w:rFonts w:hint="eastAsia" w:eastAsia="仿宋"/>
          <w:color w:val="000000"/>
          <w:sz w:val="32"/>
          <w:szCs w:val="32"/>
        </w:rPr>
        <w:t>249.55</w:t>
      </w:r>
      <w:r>
        <w:rPr>
          <w:rFonts w:eastAsia="仿宋"/>
          <w:color w:val="000000"/>
          <w:sz w:val="32"/>
          <w:szCs w:val="32"/>
        </w:rPr>
        <w:t>万元，其中：</w:t>
      </w:r>
    </w:p>
    <w:p>
      <w:pPr>
        <w:spacing w:line="600" w:lineRule="exact"/>
        <w:ind w:firstLine="645"/>
        <w:rPr>
          <w:rFonts w:hint="default" w:ascii="Times New Roman" w:hAnsi="Times New Roman" w:eastAsia="方正仿宋_GBK" w:cs="Times New Roman"/>
          <w:color w:val="000000"/>
          <w:sz w:val="33"/>
          <w:szCs w:val="33"/>
        </w:rPr>
      </w:pP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民族事务</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支出</w:t>
      </w:r>
      <w:r>
        <w:rPr>
          <w:rFonts w:hint="eastAsia" w:ascii="Times New Roman" w:hAnsi="Times New Roman" w:eastAsia="方正仿宋_GBK" w:cs="Times New Roman"/>
          <w:color w:val="000000"/>
          <w:sz w:val="33"/>
          <w:szCs w:val="33"/>
          <w:lang w:val="en-US" w:eastAsia="zh-CN"/>
        </w:rPr>
        <w:t>9.92</w:t>
      </w:r>
      <w:r>
        <w:rPr>
          <w:rFonts w:hint="default" w:ascii="Times New Roman" w:hAnsi="Times New Roman" w:eastAsia="方正仿宋_GBK" w:cs="Times New Roman"/>
          <w:color w:val="000000"/>
          <w:sz w:val="33"/>
          <w:szCs w:val="33"/>
        </w:rPr>
        <w:t>万元，主要用于：其他民族事务支出。</w:t>
      </w:r>
    </w:p>
    <w:p>
      <w:pPr>
        <w:spacing w:line="600" w:lineRule="exact"/>
        <w:ind w:firstLine="645"/>
        <w:rPr>
          <w:rFonts w:hint="default" w:ascii="Times New Roman" w:hAnsi="Times New Roman" w:eastAsia="方正仿宋_GBK" w:cs="Times New Roman"/>
          <w:color w:val="000000"/>
          <w:sz w:val="33"/>
          <w:szCs w:val="33"/>
        </w:rPr>
      </w:pP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港澳台事务</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支出</w:t>
      </w:r>
      <w:r>
        <w:rPr>
          <w:rFonts w:hint="eastAsia" w:ascii="Times New Roman" w:hAnsi="Times New Roman" w:eastAsia="方正仿宋_GBK" w:cs="Times New Roman"/>
          <w:color w:val="000000"/>
          <w:sz w:val="33"/>
          <w:szCs w:val="33"/>
          <w:lang w:val="en-US" w:eastAsia="zh-CN"/>
        </w:rPr>
        <w:t>14.25</w:t>
      </w:r>
      <w:r>
        <w:rPr>
          <w:rFonts w:hint="default" w:ascii="Times New Roman" w:hAnsi="Times New Roman" w:eastAsia="方正仿宋_GBK" w:cs="Times New Roman"/>
          <w:color w:val="000000"/>
          <w:sz w:val="33"/>
          <w:szCs w:val="33"/>
        </w:rPr>
        <w:t>万元，主要用于</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一般行政管理事务</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其他港澳台事务支出</w:t>
      </w:r>
      <w:r>
        <w:rPr>
          <w:rFonts w:hint="default" w:ascii="Times New Roman" w:hAnsi="Times New Roman" w:eastAsia="方正仿宋_GBK" w:cs="Times New Roman"/>
          <w:color w:val="000000"/>
          <w:sz w:val="33"/>
          <w:szCs w:val="33"/>
        </w:rPr>
        <w:t>。</w:t>
      </w:r>
    </w:p>
    <w:p>
      <w:pPr>
        <w:spacing w:line="600" w:lineRule="exact"/>
        <w:ind w:firstLine="645"/>
        <w:rPr>
          <w:rFonts w:hint="default" w:ascii="Times New Roman" w:hAnsi="Times New Roman" w:eastAsia="方正仿宋_GBK" w:cs="Times New Roman"/>
          <w:color w:val="000000"/>
          <w:sz w:val="33"/>
          <w:szCs w:val="33"/>
        </w:rPr>
      </w:pP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民主党派及工商联事务</w:t>
      </w:r>
      <w:r>
        <w:rPr>
          <w:rFonts w:hint="eastAsia"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rPr>
        <w:t>支出</w:t>
      </w:r>
      <w:r>
        <w:rPr>
          <w:rFonts w:hint="eastAsia" w:ascii="Times New Roman" w:hAnsi="Times New Roman" w:eastAsia="方正仿宋_GBK" w:cs="Times New Roman"/>
          <w:color w:val="000000"/>
          <w:sz w:val="33"/>
          <w:szCs w:val="33"/>
          <w:lang w:val="en-US" w:eastAsia="zh-CN"/>
        </w:rPr>
        <w:t>9.59</w:t>
      </w:r>
      <w:r>
        <w:rPr>
          <w:rFonts w:hint="default" w:ascii="Times New Roman" w:hAnsi="Times New Roman" w:eastAsia="方正仿宋_GBK" w:cs="Times New Roman"/>
          <w:color w:val="000000"/>
          <w:sz w:val="33"/>
          <w:szCs w:val="33"/>
        </w:rPr>
        <w:t>万元，主要用于：一般行政管理事务</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其他民主党派及工商联事务支出</w:t>
      </w:r>
      <w:r>
        <w:rPr>
          <w:rFonts w:hint="default" w:ascii="Times New Roman" w:hAnsi="Times New Roman" w:eastAsia="方正仿宋_GBK" w:cs="Times New Roman"/>
          <w:color w:val="000000"/>
          <w:sz w:val="33"/>
          <w:szCs w:val="33"/>
        </w:rPr>
        <w:t>。</w:t>
      </w:r>
    </w:p>
    <w:p>
      <w:pPr>
        <w:pStyle w:val="7"/>
        <w:spacing w:line="590" w:lineRule="exact"/>
        <w:ind w:firstLine="660"/>
        <w:rPr>
          <w:rFonts w:hint="default" w:ascii="Times New Roman" w:hAnsi="Times New Roman" w:eastAsia="方正仿宋_GBK" w:cs="Times New Roman"/>
          <w:color w:val="000000"/>
          <w:sz w:val="33"/>
          <w:szCs w:val="33"/>
        </w:rPr>
      </w:pPr>
      <w:r>
        <w:rPr>
          <w:rFonts w:hint="eastAsia" w:ascii="Times New Roman" w:hAnsi="Times New Roman" w:eastAsia="方正仿宋_GBK" w:cs="Times New Roman"/>
          <w:color w:val="000000"/>
          <w:kern w:val="2"/>
          <w:sz w:val="33"/>
          <w:szCs w:val="33"/>
          <w:lang w:val="en-US" w:eastAsia="zh-CN" w:bidi="ar-SA"/>
        </w:rPr>
        <w:t>“群众团体事务”</w:t>
      </w:r>
      <w:r>
        <w:rPr>
          <w:rFonts w:hint="eastAsia" w:eastAsia="方正仿宋_GBK" w:cs="Times New Roman"/>
          <w:color w:val="000000"/>
          <w:kern w:val="2"/>
          <w:sz w:val="33"/>
          <w:szCs w:val="33"/>
          <w:lang w:val="en-US" w:eastAsia="zh-CN" w:bidi="ar-SA"/>
        </w:rPr>
        <w:t>7</w:t>
      </w:r>
      <w:r>
        <w:rPr>
          <w:rFonts w:hint="eastAsia" w:ascii="Times New Roman" w:hAnsi="Times New Roman" w:eastAsia="方正仿宋_GBK" w:cs="Times New Roman"/>
          <w:color w:val="000000"/>
          <w:kern w:val="2"/>
          <w:sz w:val="33"/>
          <w:szCs w:val="33"/>
          <w:lang w:val="en-US" w:eastAsia="zh-CN" w:bidi="ar-SA"/>
        </w:rPr>
        <w:t>万元，主要用于：</w:t>
      </w:r>
      <w:r>
        <w:rPr>
          <w:rFonts w:hint="default" w:ascii="Times New Roman" w:hAnsi="Times New Roman" w:eastAsia="方正仿宋_GBK" w:cs="Times New Roman"/>
          <w:color w:val="000000"/>
          <w:sz w:val="33"/>
          <w:szCs w:val="33"/>
        </w:rPr>
        <w:t>一般行政管理事务</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其他</w:t>
      </w:r>
      <w:r>
        <w:rPr>
          <w:rFonts w:hint="eastAsia" w:ascii="Times New Roman" w:hAnsi="Times New Roman" w:eastAsia="方正仿宋_GBK" w:cs="Times New Roman"/>
          <w:color w:val="000000"/>
          <w:kern w:val="2"/>
          <w:sz w:val="33"/>
          <w:szCs w:val="33"/>
          <w:lang w:val="en-US" w:eastAsia="zh-CN" w:bidi="ar-SA"/>
        </w:rPr>
        <w:t>群众团体事务</w:t>
      </w:r>
      <w:r>
        <w:rPr>
          <w:rFonts w:hint="default" w:ascii="Times New Roman" w:hAnsi="Times New Roman" w:eastAsia="方正仿宋_GBK" w:cs="Times New Roman"/>
          <w:color w:val="000000"/>
          <w:sz w:val="33"/>
          <w:szCs w:val="33"/>
          <w:lang w:val="en-US" w:eastAsia="zh-CN"/>
        </w:rPr>
        <w:t>支出</w:t>
      </w:r>
      <w:r>
        <w:rPr>
          <w:rFonts w:hint="default" w:ascii="Times New Roman" w:hAnsi="Times New Roman" w:eastAsia="方正仿宋_GBK" w:cs="Times New Roman"/>
          <w:color w:val="000000"/>
          <w:sz w:val="33"/>
          <w:szCs w:val="33"/>
        </w:rPr>
        <w:t>。</w:t>
      </w:r>
    </w:p>
    <w:p>
      <w:pPr>
        <w:pStyle w:val="7"/>
        <w:spacing w:line="590" w:lineRule="exact"/>
        <w:ind w:firstLine="66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“统战事务”支出</w:t>
      </w:r>
      <w:r>
        <w:rPr>
          <w:rFonts w:hint="eastAsia" w:eastAsia="方正仿宋_GBK" w:cs="Times New Roman"/>
          <w:color w:val="000000"/>
          <w:kern w:val="2"/>
          <w:sz w:val="33"/>
          <w:szCs w:val="33"/>
          <w:lang w:val="en-US" w:eastAsia="zh-CN" w:bidi="ar-SA"/>
        </w:rPr>
        <w:t>88.43</w:t>
      </w:r>
      <w:r>
        <w:rPr>
          <w:rFonts w:hint="eastAsia" w:ascii="Times New Roman" w:hAnsi="Times New Roman" w:eastAsia="方正仿宋_GBK" w:cs="Times New Roman"/>
          <w:color w:val="000000"/>
          <w:kern w:val="2"/>
          <w:sz w:val="33"/>
          <w:szCs w:val="33"/>
          <w:lang w:val="en-US" w:eastAsia="zh-CN" w:bidi="ar-SA"/>
        </w:rPr>
        <w:t>万元，主要用于：宗教事务</w:t>
      </w:r>
      <w:r>
        <w:rPr>
          <w:rFonts w:hint="eastAsia" w:eastAsia="方正仿宋_GBK" w:cs="Times New Roman"/>
          <w:color w:val="000000"/>
          <w:kern w:val="2"/>
          <w:sz w:val="33"/>
          <w:szCs w:val="33"/>
          <w:lang w:val="en-US" w:eastAsia="zh-CN" w:bidi="ar-SA"/>
        </w:rPr>
        <w:t>、</w:t>
      </w:r>
      <w:r>
        <w:rPr>
          <w:rFonts w:hint="default" w:ascii="Times New Roman" w:hAnsi="Times New Roman" w:eastAsia="方正仿宋_GBK" w:cs="Times New Roman"/>
          <w:color w:val="000000"/>
          <w:sz w:val="33"/>
          <w:szCs w:val="33"/>
        </w:rPr>
        <w:t>一般行政管理事务</w:t>
      </w:r>
      <w:r>
        <w:rPr>
          <w:rFonts w:hint="default" w:ascii="Times New Roman" w:hAnsi="Times New Roman" w:eastAsia="方正仿宋_GBK" w:cs="Times New Roman"/>
          <w:color w:val="000000"/>
          <w:sz w:val="33"/>
          <w:szCs w:val="33"/>
          <w:lang w:eastAsia="zh-CN"/>
        </w:rPr>
        <w:t>、</w:t>
      </w:r>
      <w:r>
        <w:rPr>
          <w:rFonts w:hint="default" w:ascii="Times New Roman" w:hAnsi="Times New Roman" w:eastAsia="方正仿宋_GBK" w:cs="Times New Roman"/>
          <w:color w:val="000000"/>
          <w:sz w:val="33"/>
          <w:szCs w:val="33"/>
          <w:lang w:val="en-US" w:eastAsia="zh-CN"/>
        </w:rPr>
        <w:t>其他</w:t>
      </w:r>
      <w:r>
        <w:rPr>
          <w:rFonts w:hint="eastAsia" w:ascii="Times New Roman" w:hAnsi="Times New Roman" w:eastAsia="方正仿宋_GBK" w:cs="Times New Roman"/>
          <w:color w:val="000000"/>
          <w:kern w:val="2"/>
          <w:sz w:val="33"/>
          <w:szCs w:val="33"/>
          <w:lang w:val="en-US" w:eastAsia="zh-CN" w:bidi="ar-SA"/>
        </w:rPr>
        <w:t>统战事务</w:t>
      </w:r>
      <w:r>
        <w:rPr>
          <w:rFonts w:hint="default" w:ascii="Times New Roman" w:hAnsi="Times New Roman" w:eastAsia="方正仿宋_GBK" w:cs="Times New Roman"/>
          <w:color w:val="000000"/>
          <w:sz w:val="33"/>
          <w:szCs w:val="33"/>
          <w:lang w:val="en-US" w:eastAsia="zh-CN"/>
        </w:rPr>
        <w:t>支出</w:t>
      </w:r>
      <w:r>
        <w:rPr>
          <w:rFonts w:hint="eastAsia" w:ascii="Times New Roman" w:hAnsi="Times New Roman" w:eastAsia="方正仿宋_GBK" w:cs="Times New Roman"/>
          <w:color w:val="000000"/>
          <w:kern w:val="2"/>
          <w:sz w:val="33"/>
          <w:szCs w:val="33"/>
          <w:lang w:val="en-US" w:eastAsia="zh-CN" w:bidi="ar-SA"/>
        </w:rPr>
        <w:t>。</w:t>
      </w:r>
    </w:p>
    <w:p>
      <w:pPr>
        <w:pStyle w:val="7"/>
        <w:spacing w:line="590" w:lineRule="exact"/>
        <w:ind w:firstLine="66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“社会保障和就业支出”支出</w:t>
      </w:r>
      <w:r>
        <w:rPr>
          <w:rFonts w:hint="eastAsia" w:eastAsia="方正仿宋_GBK" w:cs="Times New Roman"/>
          <w:color w:val="000000"/>
          <w:kern w:val="2"/>
          <w:sz w:val="33"/>
          <w:szCs w:val="33"/>
          <w:lang w:val="en-US" w:eastAsia="zh-CN" w:bidi="ar-SA"/>
        </w:rPr>
        <w:t>0.35</w:t>
      </w:r>
      <w:r>
        <w:rPr>
          <w:rFonts w:hint="eastAsia" w:ascii="Times New Roman" w:hAnsi="Times New Roman" w:eastAsia="方正仿宋_GBK" w:cs="Times New Roman"/>
          <w:color w:val="000000"/>
          <w:kern w:val="2"/>
          <w:sz w:val="33"/>
          <w:szCs w:val="33"/>
          <w:lang w:val="en-US" w:eastAsia="zh-CN" w:bidi="ar-SA"/>
        </w:rPr>
        <w:t>万元，主要用于：行政事业单位养老</w:t>
      </w:r>
      <w:r>
        <w:rPr>
          <w:rFonts w:hint="default" w:ascii="Times New Roman" w:hAnsi="Times New Roman" w:eastAsia="方正仿宋_GBK" w:cs="Times New Roman"/>
          <w:color w:val="000000"/>
          <w:kern w:val="2"/>
          <w:sz w:val="33"/>
          <w:szCs w:val="33"/>
          <w:lang w:val="en-US" w:eastAsia="zh-CN" w:bidi="ar-SA"/>
        </w:rPr>
        <w:t>支出</w:t>
      </w:r>
      <w:r>
        <w:rPr>
          <w:rFonts w:hint="eastAsia" w:ascii="Times New Roman" w:hAnsi="Times New Roman" w:eastAsia="方正仿宋_GBK" w:cs="Times New Roman"/>
          <w:color w:val="000000"/>
          <w:kern w:val="2"/>
          <w:sz w:val="33"/>
          <w:szCs w:val="33"/>
          <w:lang w:val="en-US" w:eastAsia="zh-CN" w:bidi="ar-SA"/>
        </w:rPr>
        <w:t>。</w:t>
      </w:r>
    </w:p>
    <w:p>
      <w:pPr>
        <w:pStyle w:val="7"/>
        <w:spacing w:line="590" w:lineRule="exact"/>
        <w:ind w:firstLine="66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“卫生健康支出”支出</w:t>
      </w:r>
      <w:r>
        <w:rPr>
          <w:rFonts w:hint="eastAsia" w:eastAsia="方正仿宋_GBK" w:cs="Times New Roman"/>
          <w:color w:val="000000"/>
          <w:kern w:val="2"/>
          <w:sz w:val="33"/>
          <w:szCs w:val="33"/>
          <w:lang w:val="en-US" w:eastAsia="zh-CN" w:bidi="ar-SA"/>
        </w:rPr>
        <w:t>20</w:t>
      </w:r>
      <w:r>
        <w:rPr>
          <w:rFonts w:hint="eastAsia" w:ascii="Times New Roman" w:hAnsi="Times New Roman" w:eastAsia="方正仿宋_GBK" w:cs="Times New Roman"/>
          <w:color w:val="000000"/>
          <w:kern w:val="2"/>
          <w:sz w:val="33"/>
          <w:szCs w:val="33"/>
          <w:lang w:val="en-US" w:eastAsia="zh-CN" w:bidi="ar-SA"/>
        </w:rPr>
        <w:t>万元，主要用于：突发公共卫生事件应急处理。</w:t>
      </w:r>
    </w:p>
    <w:p>
      <w:pPr>
        <w:pStyle w:val="7"/>
        <w:spacing w:line="590" w:lineRule="exact"/>
        <w:ind w:firstLine="66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“农林水支出”支出</w:t>
      </w:r>
      <w:r>
        <w:rPr>
          <w:rFonts w:hint="eastAsia" w:eastAsia="方正仿宋_GBK" w:cs="Times New Roman"/>
          <w:color w:val="000000"/>
          <w:kern w:val="2"/>
          <w:sz w:val="33"/>
          <w:szCs w:val="33"/>
          <w:lang w:val="en-US" w:eastAsia="zh-CN" w:bidi="ar-SA"/>
        </w:rPr>
        <w:t>100</w:t>
      </w:r>
      <w:r>
        <w:rPr>
          <w:rFonts w:hint="eastAsia" w:ascii="Times New Roman" w:hAnsi="Times New Roman" w:eastAsia="方正仿宋_GBK" w:cs="Times New Roman"/>
          <w:color w:val="000000"/>
          <w:kern w:val="2"/>
          <w:sz w:val="33"/>
          <w:szCs w:val="33"/>
          <w:lang w:val="en-US" w:eastAsia="zh-CN" w:bidi="ar-SA"/>
        </w:rPr>
        <w:t>万元，主要用于：巩固脱贫衔接乡村振兴</w:t>
      </w:r>
      <w:r>
        <w:rPr>
          <w:rFonts w:hint="eastAsia" w:eastAsia="方正仿宋_GBK" w:cs="Times New Roman"/>
          <w:color w:val="000000"/>
          <w:kern w:val="2"/>
          <w:sz w:val="33"/>
          <w:szCs w:val="33"/>
          <w:lang w:val="en-US" w:eastAsia="zh-CN" w:bidi="ar-SA"/>
        </w:rPr>
        <w:t>。</w:t>
      </w:r>
    </w:p>
    <w:p>
      <w:pPr>
        <w:spacing w:line="600" w:lineRule="exact"/>
        <w:ind w:firstLine="640"/>
        <w:outlineLvl w:val="1"/>
        <w:rPr>
          <w:rStyle w:val="32"/>
          <w:rFonts w:ascii="黑体" w:hAnsi="黑体" w:eastAsia="黑体"/>
          <w:b w:val="0"/>
          <w:color w:val="auto"/>
          <w:highlight w:val="none"/>
        </w:rPr>
      </w:pPr>
      <w:r>
        <w:rPr>
          <w:rFonts w:hint="eastAsia" w:ascii="黑体" w:eastAsia="黑体"/>
          <w:color w:val="auto"/>
          <w:sz w:val="32"/>
          <w:szCs w:val="32"/>
          <w:highlight w:val="none"/>
          <w:lang w:val="en-US" w:eastAsia="zh-CN"/>
        </w:rPr>
        <w:t>八</w:t>
      </w:r>
      <w:r>
        <w:rPr>
          <w:rFonts w:hint="eastAsia" w:ascii="黑体" w:eastAsia="黑体"/>
          <w:color w:val="auto"/>
          <w:sz w:val="32"/>
          <w:szCs w:val="32"/>
          <w:highlight w:val="none"/>
        </w:rPr>
        <w:t>、</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0"/>
      <w:bookmarkEnd w:id="51"/>
    </w:p>
    <w:p>
      <w:pPr>
        <w:spacing w:line="600" w:lineRule="exact"/>
        <w:ind w:firstLine="640"/>
        <w:outlineLvl w:val="2"/>
        <w:rPr>
          <w:rFonts w:hint="eastAsia" w:ascii="方正楷体_GBK" w:hAnsi="方正楷体_GBK" w:eastAsia="方正楷体_GBK" w:cs="方正楷体_GBK"/>
          <w:b/>
          <w:color w:val="auto"/>
          <w:sz w:val="32"/>
          <w:szCs w:val="32"/>
          <w:highlight w:val="none"/>
        </w:rPr>
      </w:pPr>
      <w:bookmarkStart w:id="52" w:name="_Toc15377216"/>
      <w:r>
        <w:rPr>
          <w:rFonts w:hint="eastAsia" w:ascii="方正楷体_GBK" w:hAnsi="方正楷体_GBK" w:eastAsia="方正楷体_GBK" w:cs="方正楷体_GBK"/>
          <w:b/>
          <w:color w:val="auto"/>
          <w:sz w:val="32"/>
          <w:szCs w:val="32"/>
          <w:highlight w:val="none"/>
        </w:rPr>
        <w:t>（一）“三公”经费财政拨款支出决算总体情况说明</w:t>
      </w:r>
      <w:bookmarkEnd w:id="52"/>
    </w:p>
    <w:p>
      <w:pPr>
        <w:pStyle w:val="7"/>
        <w:spacing w:line="590" w:lineRule="exact"/>
        <w:ind w:firstLine="66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2022年“三公”经费财政拨款支出决算为1.36万元，完成预算100%，较上年减少1.91万元，下降58%。决算数预算数持平。</w:t>
      </w:r>
    </w:p>
    <w:p>
      <w:pPr>
        <w:spacing w:line="600" w:lineRule="exact"/>
        <w:ind w:firstLine="640"/>
        <w:outlineLvl w:val="2"/>
        <w:rPr>
          <w:rFonts w:hint="eastAsia" w:ascii="方正楷体_GBK" w:hAnsi="方正楷体_GBK" w:eastAsia="方正楷体_GBK" w:cs="方正楷体_GBK"/>
          <w:b/>
          <w:color w:val="auto"/>
          <w:sz w:val="32"/>
          <w:szCs w:val="32"/>
          <w:highlight w:val="none"/>
        </w:rPr>
      </w:pPr>
      <w:bookmarkStart w:id="53" w:name="_Toc15377217"/>
      <w:r>
        <w:rPr>
          <w:rFonts w:hint="eastAsia" w:ascii="方正楷体_GBK" w:hAnsi="方正楷体_GBK" w:eastAsia="方正楷体_GBK" w:cs="方正楷体_GBK"/>
          <w:b/>
          <w:color w:val="auto"/>
          <w:sz w:val="32"/>
          <w:szCs w:val="32"/>
          <w:highlight w:val="none"/>
        </w:rPr>
        <w:t>（二）“三公”经费财政拨款支出决算具体情况说明</w:t>
      </w:r>
      <w:bookmarkEnd w:id="53"/>
    </w:p>
    <w:p>
      <w:pPr>
        <w:spacing w:line="600" w:lineRule="exact"/>
        <w:ind w:firstLine="640"/>
        <w:rPr>
          <w:rFonts w:hint="eastAsia" w:ascii="Times New Roman" w:hAnsi="Times New Roman" w:eastAsia="方正仿宋_GBK" w:cs="Times New Roman"/>
          <w:color w:val="000000"/>
          <w:kern w:val="2"/>
          <w:sz w:val="33"/>
          <w:szCs w:val="33"/>
          <w:lang w:val="en-US" w:eastAsia="zh-CN" w:bidi="ar-SA"/>
        </w:rPr>
      </w:pPr>
      <w:r>
        <w:rPr>
          <w:rFonts w:hint="eastAsia" w:ascii="Times New Roman" w:hAnsi="Times New Roman" w:eastAsia="方正仿宋_GBK" w:cs="Times New Roman"/>
          <w:color w:val="000000"/>
          <w:kern w:val="2"/>
          <w:sz w:val="33"/>
          <w:szCs w:val="33"/>
          <w:lang w:val="en-US" w:eastAsia="zh-CN" w:bidi="ar-SA"/>
        </w:rPr>
        <w:t>2022年“三公”经费财政拨款支出决算中，因公出国（境）费支出决算0万元，占0%。；公务用车购置及运行维护费支出决算0万元，占0%。；公务接待费支出决算1.36万元，占100%。具体情况如下：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hint="eastAsia" w:ascii="Times New Roman" w:hAnsi="Times New Roman" w:eastAsia="方正仿宋_GBK" w:cs="Times New Roman"/>
          <w:color w:val="000000"/>
          <w:kern w:val="2"/>
          <w:sz w:val="33"/>
          <w:szCs w:val="33"/>
          <w:lang w:val="en-US" w:eastAsia="zh-CN" w:bidi="ar-SA"/>
        </w:rPr>
      </w:pPr>
      <w:r>
        <w:drawing>
          <wp:inline distT="0" distB="0" distL="114300" distR="114300">
            <wp:extent cx="4927600" cy="3140075"/>
            <wp:effectExtent l="0" t="0" r="635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4927600" cy="3140075"/>
                    </a:xfrm>
                    <a:prstGeom prst="rect">
                      <a:avLst/>
                    </a:prstGeom>
                    <a:noFill/>
                    <a:ln>
                      <a:noFill/>
                    </a:ln>
                  </pic:spPr>
                </pic:pic>
              </a:graphicData>
            </a:graphic>
          </wp:inline>
        </w:drawing>
      </w:r>
      <w:r>
        <w:rPr>
          <w:rFonts w:hint="eastAsia" w:ascii="Times New Roman" w:hAnsi="Times New Roman" w:eastAsia="方正仿宋_GBK" w:cs="Times New Roman"/>
          <w:color w:val="000000"/>
          <w:kern w:val="2"/>
          <w:sz w:val="33"/>
          <w:szCs w:val="33"/>
          <w:lang w:val="en-US" w:eastAsia="zh-CN" w:bidi="ar-SA"/>
        </w:rPr>
        <w:t>图7：“三公”经费财政拨款支出结构</w:t>
      </w:r>
    </w:p>
    <w:p>
      <w:pPr>
        <w:spacing w:line="600" w:lineRule="exact"/>
        <w:ind w:firstLine="640"/>
        <w:rPr>
          <w:rFonts w:hint="default" w:ascii="Times New Roman" w:hAnsi="Times New Roman" w:eastAsia="方正仿宋_GBK" w:cs="Times New Roman"/>
          <w:b/>
          <w:color w:val="auto"/>
          <w:sz w:val="33"/>
          <w:szCs w:val="33"/>
          <w:highlight w:val="none"/>
        </w:rPr>
      </w:pPr>
      <w:r>
        <w:rPr>
          <w:rFonts w:hint="default" w:ascii="Times New Roman" w:hAnsi="Times New Roman" w:eastAsia="方正仿宋_GBK" w:cs="Times New Roman"/>
          <w:b/>
          <w:color w:val="auto"/>
          <w:sz w:val="33"/>
          <w:szCs w:val="33"/>
          <w:highlight w:val="none"/>
        </w:rPr>
        <w:t>1.因公出国（境）经费支出</w:t>
      </w:r>
      <w:r>
        <w:rPr>
          <w:rFonts w:hint="default" w:ascii="Times New Roman" w:hAnsi="Times New Roman" w:eastAsia="方正仿宋_GBK" w:cs="Times New Roman"/>
          <w:color w:val="auto"/>
          <w:sz w:val="33"/>
          <w:szCs w:val="33"/>
          <w:highlight w:val="none"/>
          <w:lang w:val="en-US" w:eastAsia="zh-CN"/>
        </w:rPr>
        <w:t>0</w:t>
      </w:r>
      <w:r>
        <w:rPr>
          <w:rFonts w:hint="default" w:ascii="Times New Roman" w:hAnsi="Times New Roman" w:eastAsia="方正仿宋_GBK" w:cs="Times New Roman"/>
          <w:color w:val="auto"/>
          <w:sz w:val="33"/>
          <w:szCs w:val="33"/>
          <w:highlight w:val="none"/>
        </w:rPr>
        <w:t>万元，</w:t>
      </w:r>
      <w:r>
        <w:rPr>
          <w:rStyle w:val="20"/>
          <w:rFonts w:hint="default" w:ascii="Times New Roman" w:hAnsi="Times New Roman" w:eastAsia="方正仿宋_GBK" w:cs="Times New Roman"/>
          <w:b w:val="0"/>
          <w:bCs/>
          <w:color w:val="auto"/>
          <w:sz w:val="33"/>
          <w:szCs w:val="33"/>
          <w:highlight w:val="none"/>
        </w:rPr>
        <w:t>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color w:val="auto"/>
          <w:sz w:val="33"/>
          <w:szCs w:val="33"/>
          <w:highlight w:val="none"/>
        </w:rPr>
        <w:t>全年安排因公出国（境）团组</w:t>
      </w:r>
      <w:r>
        <w:rPr>
          <w:rFonts w:hint="default" w:ascii="Times New Roman" w:hAnsi="Times New Roman" w:eastAsia="方正仿宋_GBK" w:cs="Times New Roman"/>
          <w:color w:val="auto"/>
          <w:sz w:val="33"/>
          <w:szCs w:val="33"/>
          <w:highlight w:val="none"/>
          <w:lang w:val="en-US" w:eastAsia="zh-CN"/>
        </w:rPr>
        <w:t>0</w:t>
      </w:r>
      <w:r>
        <w:rPr>
          <w:rFonts w:hint="default" w:ascii="Times New Roman" w:hAnsi="Times New Roman" w:eastAsia="方正仿宋_GBK" w:cs="Times New Roman"/>
          <w:color w:val="auto"/>
          <w:sz w:val="33"/>
          <w:szCs w:val="33"/>
          <w:highlight w:val="none"/>
        </w:rPr>
        <w:t>次，出国（境）</w:t>
      </w:r>
      <w:r>
        <w:rPr>
          <w:rFonts w:hint="default" w:ascii="Times New Roman" w:hAnsi="Times New Roman" w:eastAsia="方正仿宋_GBK" w:cs="Times New Roman"/>
          <w:color w:val="auto"/>
          <w:sz w:val="33"/>
          <w:szCs w:val="33"/>
          <w:highlight w:val="none"/>
          <w:lang w:val="en-US" w:eastAsia="zh-CN"/>
        </w:rPr>
        <w:t>0</w:t>
      </w:r>
      <w:r>
        <w:rPr>
          <w:rFonts w:hint="default" w:ascii="Times New Roman" w:hAnsi="Times New Roman" w:eastAsia="方正仿宋_GBK" w:cs="Times New Roman"/>
          <w:color w:val="auto"/>
          <w:sz w:val="33"/>
          <w:szCs w:val="33"/>
          <w:highlight w:val="none"/>
        </w:rPr>
        <w:t>人。因公出国（境）支出决算</w:t>
      </w:r>
      <w:r>
        <w:rPr>
          <w:rFonts w:hint="default" w:ascii="Times New Roman" w:hAnsi="Times New Roman" w:eastAsia="方正仿宋_GBK" w:cs="Times New Roman"/>
          <w:color w:val="auto"/>
          <w:sz w:val="33"/>
          <w:szCs w:val="33"/>
          <w:highlight w:val="none"/>
          <w:lang w:val="en-US" w:eastAsia="zh-CN"/>
        </w:rPr>
        <w:t>与</w:t>
      </w:r>
      <w:r>
        <w:rPr>
          <w:rFonts w:hint="default" w:ascii="Times New Roman" w:hAnsi="Times New Roman" w:eastAsia="方正仿宋_GBK" w:cs="Times New Roman"/>
          <w:color w:val="auto"/>
          <w:sz w:val="33"/>
          <w:szCs w:val="33"/>
          <w:highlight w:val="none"/>
        </w:rPr>
        <w:t>20</w:t>
      </w:r>
      <w:r>
        <w:rPr>
          <w:rFonts w:hint="default" w:ascii="Times New Roman" w:hAnsi="Times New Roman" w:eastAsia="方正仿宋_GBK" w:cs="Times New Roman"/>
          <w:color w:val="auto"/>
          <w:sz w:val="33"/>
          <w:szCs w:val="33"/>
          <w:highlight w:val="none"/>
          <w:lang w:val="en-US" w:eastAsia="zh-CN"/>
        </w:rPr>
        <w:t>21</w:t>
      </w:r>
      <w:r>
        <w:rPr>
          <w:rFonts w:hint="default" w:ascii="Times New Roman" w:hAnsi="Times New Roman" w:eastAsia="方正仿宋_GBK" w:cs="Times New Roman"/>
          <w:color w:val="auto"/>
          <w:sz w:val="33"/>
          <w:szCs w:val="33"/>
          <w:highlight w:val="none"/>
        </w:rPr>
        <w:t>年</w:t>
      </w:r>
      <w:r>
        <w:rPr>
          <w:rFonts w:hint="default" w:ascii="Times New Roman" w:hAnsi="Times New Roman" w:eastAsia="方正仿宋_GBK" w:cs="Times New Roman"/>
          <w:color w:val="auto"/>
          <w:sz w:val="33"/>
          <w:szCs w:val="33"/>
          <w:highlight w:val="none"/>
          <w:lang w:val="en-US" w:eastAsia="zh-CN"/>
        </w:rPr>
        <w:t>持平</w:t>
      </w:r>
      <w:r>
        <w:rPr>
          <w:rFonts w:hint="default" w:ascii="Times New Roman" w:hAnsi="Times New Roman" w:eastAsia="方正仿宋_GBK" w:cs="Times New Roman"/>
          <w:color w:val="auto"/>
          <w:sz w:val="33"/>
          <w:szCs w:val="33"/>
          <w:highlight w:val="none"/>
        </w:rPr>
        <w:t>。</w:t>
      </w:r>
    </w:p>
    <w:p>
      <w:pPr>
        <w:spacing w:line="600" w:lineRule="exact"/>
        <w:ind w:firstLine="640"/>
        <w:rPr>
          <w:rFonts w:hint="default" w:ascii="Times New Roman" w:hAnsi="Times New Roman" w:eastAsia="方正仿宋_GBK" w:cs="Times New Roman"/>
          <w:b/>
          <w:color w:val="auto"/>
          <w:sz w:val="33"/>
          <w:szCs w:val="33"/>
          <w:highlight w:val="none"/>
        </w:rPr>
      </w:pPr>
      <w:r>
        <w:rPr>
          <w:rFonts w:hint="default" w:ascii="Times New Roman" w:hAnsi="Times New Roman" w:eastAsia="方正仿宋_GBK" w:cs="Times New Roman"/>
          <w:b/>
          <w:color w:val="auto"/>
          <w:sz w:val="33"/>
          <w:szCs w:val="33"/>
          <w:highlight w:val="none"/>
        </w:rPr>
        <w:t>2.公务用车购置及运行维护费支出</w:t>
      </w:r>
      <w:r>
        <w:rPr>
          <w:rFonts w:hint="default" w:ascii="Times New Roman" w:hAnsi="Times New Roman" w:eastAsia="方正仿宋_GBK" w:cs="Times New Roman"/>
          <w:color w:val="auto"/>
          <w:sz w:val="33"/>
          <w:szCs w:val="33"/>
          <w:highlight w:val="none"/>
          <w:lang w:val="en-US" w:eastAsia="zh-CN"/>
        </w:rPr>
        <w:t>0</w:t>
      </w:r>
      <w:r>
        <w:rPr>
          <w:rFonts w:hint="default" w:ascii="Times New Roman" w:hAnsi="Times New Roman" w:eastAsia="方正仿宋_GBK" w:cs="Times New Roman"/>
          <w:color w:val="auto"/>
          <w:sz w:val="33"/>
          <w:szCs w:val="33"/>
          <w:highlight w:val="none"/>
        </w:rPr>
        <w:t>万元,</w:t>
      </w:r>
      <w:r>
        <w:rPr>
          <w:rStyle w:val="20"/>
          <w:rFonts w:hint="default" w:ascii="Times New Roman" w:hAnsi="Times New Roman" w:eastAsia="方正仿宋_GBK" w:cs="Times New Roman"/>
          <w:b w:val="0"/>
          <w:bCs/>
          <w:color w:val="auto"/>
          <w:sz w:val="33"/>
          <w:szCs w:val="33"/>
          <w:highlight w:val="none"/>
        </w:rPr>
        <w:t>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color w:val="auto"/>
          <w:sz w:val="33"/>
          <w:szCs w:val="33"/>
          <w:highlight w:val="none"/>
        </w:rPr>
        <w:t>公务用车购置及运行维护费支出决算</w:t>
      </w:r>
      <w:r>
        <w:rPr>
          <w:rFonts w:hint="default" w:ascii="Times New Roman" w:hAnsi="Times New Roman" w:eastAsia="方正仿宋_GBK" w:cs="Times New Roman"/>
          <w:color w:val="auto"/>
          <w:sz w:val="33"/>
          <w:szCs w:val="33"/>
          <w:highlight w:val="none"/>
          <w:lang w:val="en-US" w:eastAsia="zh-CN"/>
        </w:rPr>
        <w:t>与</w:t>
      </w:r>
      <w:r>
        <w:rPr>
          <w:rFonts w:hint="default" w:ascii="Times New Roman" w:hAnsi="Times New Roman" w:eastAsia="方正仿宋_GBK" w:cs="Times New Roman"/>
          <w:color w:val="auto"/>
          <w:sz w:val="33"/>
          <w:szCs w:val="33"/>
          <w:highlight w:val="none"/>
        </w:rPr>
        <w:t>20</w:t>
      </w:r>
      <w:r>
        <w:rPr>
          <w:rFonts w:hint="default" w:ascii="Times New Roman" w:hAnsi="Times New Roman" w:eastAsia="方正仿宋_GBK" w:cs="Times New Roman"/>
          <w:color w:val="auto"/>
          <w:sz w:val="33"/>
          <w:szCs w:val="33"/>
          <w:highlight w:val="none"/>
          <w:lang w:val="en-US" w:eastAsia="zh-CN"/>
        </w:rPr>
        <w:t>21持平</w:t>
      </w:r>
      <w:r>
        <w:rPr>
          <w:rFonts w:hint="default" w:ascii="Times New Roman" w:hAnsi="Times New Roman" w:eastAsia="方正仿宋_GBK" w:cs="Times New Roman"/>
          <w:color w:val="auto"/>
          <w:sz w:val="33"/>
          <w:szCs w:val="33"/>
          <w:highlight w:val="none"/>
        </w:rPr>
        <w:t>。</w:t>
      </w:r>
    </w:p>
    <w:p>
      <w:pPr>
        <w:spacing w:line="600" w:lineRule="exact"/>
        <w:ind w:firstLine="640"/>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b/>
          <w:color w:val="auto"/>
          <w:sz w:val="33"/>
          <w:szCs w:val="33"/>
          <w:highlight w:val="none"/>
        </w:rPr>
        <w:t>3.公务接待费支出</w:t>
      </w:r>
      <w:r>
        <w:rPr>
          <w:rFonts w:hint="default" w:ascii="Times New Roman" w:hAnsi="Times New Roman" w:eastAsia="方正仿宋_GBK" w:cs="Times New Roman"/>
          <w:color w:val="auto"/>
          <w:sz w:val="33"/>
          <w:szCs w:val="33"/>
          <w:highlight w:val="none"/>
          <w:lang w:val="en-US" w:eastAsia="zh-CN"/>
        </w:rPr>
        <w:t>1.36</w:t>
      </w:r>
      <w:r>
        <w:rPr>
          <w:rFonts w:hint="default" w:ascii="Times New Roman" w:hAnsi="Times New Roman" w:eastAsia="方正仿宋_GBK" w:cs="Times New Roman"/>
          <w:color w:val="auto"/>
          <w:sz w:val="33"/>
          <w:szCs w:val="33"/>
          <w:highlight w:val="none"/>
        </w:rPr>
        <w:t>万元，</w:t>
      </w:r>
      <w:r>
        <w:rPr>
          <w:rStyle w:val="20"/>
          <w:rFonts w:hint="default" w:ascii="Times New Roman" w:hAnsi="Times New Roman" w:eastAsia="方正仿宋_GBK" w:cs="Times New Roman"/>
          <w:b w:val="0"/>
          <w:bCs/>
          <w:color w:val="auto"/>
          <w:sz w:val="33"/>
          <w:szCs w:val="33"/>
          <w:highlight w:val="none"/>
        </w:rPr>
        <w:t>完成预算</w:t>
      </w:r>
      <w:r>
        <w:rPr>
          <w:rStyle w:val="20"/>
          <w:rFonts w:hint="default" w:ascii="Times New Roman" w:hAnsi="Times New Roman" w:eastAsia="方正仿宋_GBK" w:cs="Times New Roman"/>
          <w:b w:val="0"/>
          <w:bCs/>
          <w:color w:val="auto"/>
          <w:sz w:val="33"/>
          <w:szCs w:val="33"/>
          <w:highlight w:val="none"/>
          <w:lang w:val="en-US" w:eastAsia="zh-CN"/>
        </w:rPr>
        <w:t>100</w:t>
      </w:r>
      <w:r>
        <w:rPr>
          <w:rStyle w:val="20"/>
          <w:rFonts w:hint="default" w:ascii="Times New Roman" w:hAnsi="Times New Roman" w:eastAsia="方正仿宋_GBK" w:cs="Times New Roman"/>
          <w:b w:val="0"/>
          <w:bCs/>
          <w:color w:val="auto"/>
          <w:sz w:val="33"/>
          <w:szCs w:val="33"/>
          <w:highlight w:val="none"/>
        </w:rPr>
        <w:t>%。</w:t>
      </w:r>
      <w:r>
        <w:rPr>
          <w:rFonts w:hint="default" w:ascii="Times New Roman" w:hAnsi="Times New Roman" w:eastAsia="方正仿宋_GBK" w:cs="Times New Roman"/>
          <w:color w:val="auto"/>
          <w:sz w:val="33"/>
          <w:szCs w:val="33"/>
          <w:highlight w:val="none"/>
        </w:rPr>
        <w:t>公务接待费支出决算比20</w:t>
      </w:r>
      <w:r>
        <w:rPr>
          <w:rFonts w:hint="default" w:ascii="Times New Roman" w:hAnsi="Times New Roman" w:eastAsia="方正仿宋_GBK" w:cs="Times New Roman"/>
          <w:color w:val="auto"/>
          <w:sz w:val="33"/>
          <w:szCs w:val="33"/>
          <w:highlight w:val="none"/>
          <w:lang w:val="en-US" w:eastAsia="zh-CN"/>
        </w:rPr>
        <w:t>21</w:t>
      </w:r>
      <w:r>
        <w:rPr>
          <w:rFonts w:hint="default" w:ascii="Times New Roman" w:hAnsi="Times New Roman" w:eastAsia="方正仿宋_GBK" w:cs="Times New Roman"/>
          <w:color w:val="auto"/>
          <w:sz w:val="33"/>
          <w:szCs w:val="33"/>
          <w:highlight w:val="none"/>
        </w:rPr>
        <w:t>年减少1.91万元，下降58%。主要原因是</w:t>
      </w:r>
      <w:r>
        <w:rPr>
          <w:rFonts w:hint="eastAsia" w:eastAsia="方正仿宋_GBK"/>
          <w:sz w:val="33"/>
          <w:szCs w:val="33"/>
        </w:rPr>
        <w:t>2022年受疫情影响，公务接待</w:t>
      </w:r>
      <w:r>
        <w:rPr>
          <w:rFonts w:hint="eastAsia" w:eastAsia="方正仿宋_GBK"/>
          <w:sz w:val="33"/>
          <w:szCs w:val="33"/>
          <w:lang w:val="en-US" w:eastAsia="zh-CN"/>
        </w:rPr>
        <w:t>减</w:t>
      </w:r>
      <w:r>
        <w:rPr>
          <w:rFonts w:hint="eastAsia" w:eastAsia="方正仿宋_GBK"/>
          <w:sz w:val="33"/>
          <w:szCs w:val="33"/>
        </w:rPr>
        <w:t>少</w:t>
      </w:r>
      <w:r>
        <w:rPr>
          <w:rFonts w:hint="default" w:ascii="Times New Roman" w:hAnsi="Times New Roman" w:eastAsia="方正仿宋_GBK" w:cs="Times New Roman"/>
          <w:color w:val="auto"/>
          <w:sz w:val="33"/>
          <w:szCs w:val="33"/>
          <w:highlight w:val="none"/>
        </w:rPr>
        <w:t>。其中：</w:t>
      </w:r>
    </w:p>
    <w:p>
      <w:pPr>
        <w:spacing w:line="600" w:lineRule="exact"/>
        <w:ind w:firstLine="640"/>
        <w:rPr>
          <w:rFonts w:hint="default" w:ascii="Times New Roman" w:hAnsi="Times New Roman" w:eastAsia="方正仿宋_GBK" w:cs="Times New Roman"/>
          <w:color w:val="auto"/>
          <w:sz w:val="33"/>
          <w:szCs w:val="33"/>
          <w:highlight w:val="none"/>
          <w:lang w:val="en-US" w:eastAsia="zh-CN"/>
        </w:rPr>
      </w:pPr>
      <w:r>
        <w:rPr>
          <w:rFonts w:hint="eastAsia" w:ascii="Times New Roman" w:hAnsi="Times New Roman" w:eastAsia="方正仿宋_GBK" w:cs="Times New Roman"/>
          <w:b/>
          <w:bCs/>
          <w:color w:val="auto"/>
          <w:sz w:val="33"/>
          <w:szCs w:val="33"/>
          <w:highlight w:val="none"/>
        </w:rPr>
        <w:t>国内公务接待支出</w:t>
      </w:r>
      <w:r>
        <w:rPr>
          <w:rFonts w:hint="eastAsia" w:ascii="Times New Roman" w:hAnsi="Times New Roman" w:eastAsia="方正仿宋_GBK" w:cs="Times New Roman"/>
          <w:color w:val="auto"/>
          <w:sz w:val="33"/>
          <w:szCs w:val="33"/>
          <w:highlight w:val="none"/>
          <w:lang w:val="en-US" w:eastAsia="zh-CN"/>
        </w:rPr>
        <w:t>1.36</w:t>
      </w:r>
      <w:r>
        <w:rPr>
          <w:rFonts w:hint="eastAsia" w:ascii="Times New Roman" w:hAnsi="Times New Roman" w:eastAsia="方正仿宋_GBK" w:cs="Times New Roman"/>
          <w:color w:val="auto"/>
          <w:sz w:val="33"/>
          <w:szCs w:val="33"/>
          <w:highlight w:val="none"/>
        </w:rPr>
        <w:t>万元，主要用于执行公务、开展业务活动开支的用餐费等。国内公务接待</w:t>
      </w:r>
      <w:r>
        <w:rPr>
          <w:rFonts w:hint="eastAsia" w:ascii="Times New Roman" w:hAnsi="Times New Roman" w:eastAsia="方正仿宋_GBK" w:cs="Times New Roman"/>
          <w:color w:val="auto"/>
          <w:sz w:val="33"/>
          <w:szCs w:val="33"/>
          <w:highlight w:val="none"/>
          <w:lang w:val="en-US" w:eastAsia="zh-CN"/>
        </w:rPr>
        <w:t>8</w:t>
      </w:r>
      <w:r>
        <w:rPr>
          <w:rFonts w:hint="eastAsia" w:ascii="Times New Roman" w:hAnsi="Times New Roman" w:eastAsia="方正仿宋_GBK" w:cs="Times New Roman"/>
          <w:color w:val="auto"/>
          <w:sz w:val="33"/>
          <w:szCs w:val="33"/>
          <w:highlight w:val="none"/>
        </w:rPr>
        <w:t>批次，</w:t>
      </w:r>
      <w:r>
        <w:rPr>
          <w:rFonts w:hint="eastAsia" w:ascii="Times New Roman" w:hAnsi="Times New Roman" w:eastAsia="方正仿宋_GBK" w:cs="Times New Roman"/>
          <w:color w:val="auto"/>
          <w:sz w:val="33"/>
          <w:szCs w:val="33"/>
          <w:highlight w:val="none"/>
          <w:lang w:val="en-US" w:eastAsia="zh-CN"/>
        </w:rPr>
        <w:t>74</w:t>
      </w:r>
      <w:r>
        <w:rPr>
          <w:rFonts w:hint="eastAsia" w:ascii="Times New Roman" w:hAnsi="Times New Roman" w:eastAsia="方正仿宋_GBK" w:cs="Times New Roman"/>
          <w:color w:val="auto"/>
          <w:sz w:val="33"/>
          <w:szCs w:val="33"/>
          <w:highlight w:val="none"/>
        </w:rPr>
        <w:t>人次（不包括陪同人员），共计支出</w:t>
      </w:r>
      <w:r>
        <w:rPr>
          <w:rFonts w:hint="eastAsia" w:ascii="Times New Roman" w:hAnsi="Times New Roman" w:eastAsia="方正仿宋_GBK" w:cs="Times New Roman"/>
          <w:color w:val="auto"/>
          <w:sz w:val="33"/>
          <w:szCs w:val="33"/>
          <w:highlight w:val="none"/>
          <w:lang w:val="en-US" w:eastAsia="zh-CN"/>
        </w:rPr>
        <w:t>1.36</w:t>
      </w:r>
      <w:r>
        <w:rPr>
          <w:rFonts w:hint="eastAsia" w:ascii="Times New Roman" w:hAnsi="Times New Roman" w:eastAsia="方正仿宋_GBK" w:cs="Times New Roman"/>
          <w:color w:val="auto"/>
          <w:sz w:val="33"/>
          <w:szCs w:val="33"/>
          <w:highlight w:val="none"/>
        </w:rPr>
        <w:t>万元，具体内容包括：中共仪陇县委统战部一行赴广安区</w:t>
      </w:r>
      <w:r>
        <w:rPr>
          <w:rFonts w:hint="eastAsia" w:ascii="Times New Roman" w:hAnsi="Times New Roman" w:eastAsia="方正仿宋_GBK" w:cs="Times New Roman"/>
          <w:color w:val="auto"/>
          <w:sz w:val="33"/>
          <w:szCs w:val="33"/>
          <w:highlight w:val="none"/>
          <w:lang w:val="en-US" w:eastAsia="zh-CN"/>
        </w:rPr>
        <w:t>学习考察0.13万元，接待台胞0.2万元等。</w:t>
      </w:r>
    </w:p>
    <w:p>
      <w:pPr>
        <w:spacing w:line="600" w:lineRule="exact"/>
        <w:ind w:firstLine="663" w:firstLineChars="200"/>
        <w:rPr>
          <w:rFonts w:ascii="黑体" w:eastAsia="黑体"/>
          <w:color w:val="auto"/>
          <w:sz w:val="32"/>
          <w:szCs w:val="32"/>
          <w:highlight w:val="none"/>
        </w:rPr>
      </w:pPr>
      <w:r>
        <w:rPr>
          <w:rFonts w:hint="eastAsia" w:ascii="Times New Roman" w:hAnsi="Times New Roman" w:eastAsia="方正仿宋_GBK" w:cs="Times New Roman"/>
          <w:b/>
          <w:bCs/>
          <w:color w:val="auto"/>
          <w:sz w:val="33"/>
          <w:szCs w:val="33"/>
          <w:highlight w:val="none"/>
        </w:rPr>
        <w:t>外事接待支出</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万元，外事接待</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批次，</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人</w:t>
      </w:r>
      <w:r>
        <w:rPr>
          <w:rFonts w:hint="eastAsia" w:ascii="Times New Roman" w:hAnsi="Times New Roman" w:eastAsia="方正仿宋_GBK" w:cs="Times New Roman"/>
          <w:color w:val="auto"/>
          <w:sz w:val="33"/>
          <w:szCs w:val="33"/>
          <w:highlight w:val="none"/>
          <w:lang w:eastAsia="zh-CN"/>
        </w:rPr>
        <w:t>次（不包括陪同人员）</w:t>
      </w:r>
      <w:r>
        <w:rPr>
          <w:rFonts w:hint="eastAsia" w:ascii="Times New Roman" w:hAnsi="Times New Roman" w:eastAsia="方正仿宋_GBK" w:cs="Times New Roman"/>
          <w:color w:val="auto"/>
          <w:sz w:val="33"/>
          <w:szCs w:val="33"/>
          <w:highlight w:val="none"/>
        </w:rPr>
        <w:t>，共计支出</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万元。</w:t>
      </w:r>
      <w:bookmarkStart w:id="54" w:name="_Toc15396610"/>
      <w:bookmarkStart w:id="55" w:name="_Toc15377218"/>
    </w:p>
    <w:p>
      <w:pPr>
        <w:spacing w:line="600" w:lineRule="exact"/>
        <w:ind w:firstLine="640"/>
        <w:outlineLvl w:val="1"/>
        <w:rPr>
          <w:rStyle w:val="32"/>
          <w:rFonts w:ascii="黑体" w:hAnsi="黑体" w:eastAsia="黑体"/>
          <w:color w:val="auto"/>
          <w:highlight w:val="none"/>
        </w:rPr>
      </w:pPr>
      <w:r>
        <w:rPr>
          <w:rFonts w:hint="eastAsia" w:ascii="黑体" w:eastAsia="黑体"/>
          <w:color w:val="auto"/>
          <w:sz w:val="32"/>
          <w:szCs w:val="32"/>
          <w:highlight w:val="none"/>
          <w:lang w:val="en-US" w:eastAsia="zh-CN"/>
        </w:rPr>
        <w:t>九</w:t>
      </w:r>
      <w:r>
        <w:rPr>
          <w:rFonts w:hint="eastAsia" w:ascii="黑体" w:eastAsia="黑体"/>
          <w:color w:val="auto"/>
          <w:sz w:val="32"/>
          <w:szCs w:val="32"/>
          <w:highlight w:val="none"/>
        </w:rPr>
        <w:t>、</w:t>
      </w:r>
      <w:r>
        <w:rPr>
          <w:rStyle w:val="32"/>
          <w:rFonts w:hint="eastAsia" w:ascii="黑体" w:hAnsi="黑体" w:eastAsia="黑体"/>
          <w:b w:val="0"/>
          <w:color w:val="auto"/>
          <w:highlight w:val="none"/>
        </w:rPr>
        <w:t>政府性基金预算支出决算情况说明</w:t>
      </w:r>
      <w:bookmarkEnd w:id="54"/>
      <w:bookmarkEnd w:id="55"/>
    </w:p>
    <w:p>
      <w:pPr>
        <w:spacing w:line="600" w:lineRule="exact"/>
        <w:ind w:firstLine="640"/>
        <w:rPr>
          <w:rFonts w:ascii="仿宋_GB2312" w:eastAsia="仿宋_GB2312"/>
          <w:color w:val="auto"/>
          <w:sz w:val="32"/>
          <w:szCs w:val="32"/>
          <w:highlight w:val="none"/>
        </w:rPr>
      </w:pPr>
      <w:r>
        <w:rPr>
          <w:rFonts w:hint="eastAsia" w:ascii="Times New Roman" w:hAnsi="Times New Roman" w:eastAsia="方正仿宋_GBK" w:cs="Times New Roman"/>
          <w:color w:val="auto"/>
          <w:sz w:val="33"/>
          <w:szCs w:val="33"/>
          <w:highlight w:val="none"/>
        </w:rPr>
        <w:t>20</w:t>
      </w:r>
      <w:r>
        <w:rPr>
          <w:rFonts w:hint="eastAsia" w:ascii="Times New Roman" w:hAnsi="Times New Roman" w:eastAsia="方正仿宋_GBK" w:cs="Times New Roman"/>
          <w:color w:val="auto"/>
          <w:sz w:val="33"/>
          <w:szCs w:val="33"/>
          <w:highlight w:val="none"/>
          <w:lang w:val="en-US" w:eastAsia="zh-CN"/>
        </w:rPr>
        <w:t>22</w:t>
      </w:r>
      <w:r>
        <w:rPr>
          <w:rFonts w:hint="eastAsia" w:ascii="Times New Roman" w:hAnsi="Times New Roman" w:eastAsia="方正仿宋_GBK" w:cs="Times New Roman"/>
          <w:color w:val="auto"/>
          <w:sz w:val="33"/>
          <w:szCs w:val="33"/>
          <w:highlight w:val="none"/>
        </w:rPr>
        <w:t>年政府性基金预算</w:t>
      </w:r>
      <w:r>
        <w:rPr>
          <w:rFonts w:hint="eastAsia" w:ascii="Times New Roman" w:hAnsi="Times New Roman" w:eastAsia="方正仿宋_GBK" w:cs="Times New Roman"/>
          <w:color w:val="auto"/>
          <w:sz w:val="33"/>
          <w:szCs w:val="33"/>
          <w:highlight w:val="none"/>
          <w:lang w:eastAsia="zh-CN"/>
        </w:rPr>
        <w:t>财政</w:t>
      </w:r>
      <w:r>
        <w:rPr>
          <w:rFonts w:hint="eastAsia" w:ascii="Times New Roman" w:hAnsi="Times New Roman" w:eastAsia="方正仿宋_GBK" w:cs="Times New Roman"/>
          <w:color w:val="auto"/>
          <w:sz w:val="33"/>
          <w:szCs w:val="33"/>
          <w:highlight w:val="none"/>
        </w:rPr>
        <w:t>拨款支出</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万元。</w:t>
      </w:r>
    </w:p>
    <w:p>
      <w:pPr>
        <w:numPr>
          <w:ilvl w:val="0"/>
          <w:numId w:val="0"/>
        </w:numPr>
        <w:spacing w:line="600" w:lineRule="exact"/>
        <w:ind w:firstLine="640" w:firstLineChars="200"/>
        <w:outlineLvl w:val="1"/>
        <w:rPr>
          <w:rStyle w:val="32"/>
          <w:rFonts w:ascii="黑体" w:hAnsi="黑体" w:eastAsia="黑体"/>
          <w:b w:val="0"/>
          <w:color w:val="auto"/>
          <w:highlight w:val="none"/>
        </w:rPr>
      </w:pPr>
      <w:bookmarkStart w:id="56" w:name="_Toc15377219"/>
      <w:bookmarkStart w:id="57" w:name="_Toc15396611"/>
      <w:r>
        <w:rPr>
          <w:rStyle w:val="32"/>
          <w:rFonts w:hint="eastAsia" w:ascii="黑体" w:hAnsi="黑体" w:eastAsia="黑体"/>
          <w:b w:val="0"/>
          <w:color w:val="auto"/>
          <w:highlight w:val="none"/>
          <w:lang w:val="en-US" w:eastAsia="zh-CN"/>
        </w:rPr>
        <w:t>十、</w:t>
      </w:r>
      <w:r>
        <w:rPr>
          <w:rStyle w:val="32"/>
          <w:rFonts w:hint="eastAsia" w:ascii="黑体" w:hAnsi="黑体" w:eastAsia="黑体"/>
          <w:b w:val="0"/>
          <w:color w:val="auto"/>
          <w:highlight w:val="none"/>
        </w:rPr>
        <w:t>国有资本经营预算支出决算情况说明</w:t>
      </w:r>
      <w:bookmarkEnd w:id="56"/>
      <w:bookmarkEnd w:id="57"/>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Times New Roman" w:hAnsi="Times New Roman" w:eastAsia="方正仿宋_GBK" w:cs="Times New Roman"/>
          <w:color w:val="auto"/>
          <w:sz w:val="33"/>
          <w:szCs w:val="33"/>
          <w:highlight w:val="none"/>
        </w:rPr>
        <w:t>20</w:t>
      </w:r>
      <w:r>
        <w:rPr>
          <w:rFonts w:hint="eastAsia" w:ascii="Times New Roman" w:hAnsi="Times New Roman" w:eastAsia="方正仿宋_GBK" w:cs="Times New Roman"/>
          <w:color w:val="auto"/>
          <w:sz w:val="33"/>
          <w:szCs w:val="33"/>
          <w:highlight w:val="none"/>
          <w:lang w:val="en-US" w:eastAsia="zh-CN"/>
        </w:rPr>
        <w:t>22</w:t>
      </w:r>
      <w:r>
        <w:rPr>
          <w:rFonts w:hint="eastAsia" w:ascii="Times New Roman" w:hAnsi="Times New Roman" w:eastAsia="方正仿宋_GBK" w:cs="Times New Roman"/>
          <w:color w:val="auto"/>
          <w:sz w:val="33"/>
          <w:szCs w:val="33"/>
          <w:highlight w:val="none"/>
        </w:rPr>
        <w:t>年国有资本经营预算</w:t>
      </w:r>
      <w:r>
        <w:rPr>
          <w:rFonts w:hint="eastAsia" w:ascii="Times New Roman" w:hAnsi="Times New Roman" w:eastAsia="方正仿宋_GBK" w:cs="Times New Roman"/>
          <w:color w:val="auto"/>
          <w:sz w:val="33"/>
          <w:szCs w:val="33"/>
          <w:highlight w:val="none"/>
          <w:lang w:eastAsia="zh-CN"/>
        </w:rPr>
        <w:t>财政</w:t>
      </w:r>
      <w:r>
        <w:rPr>
          <w:rFonts w:hint="eastAsia" w:ascii="Times New Roman" w:hAnsi="Times New Roman" w:eastAsia="方正仿宋_GBK" w:cs="Times New Roman"/>
          <w:color w:val="auto"/>
          <w:sz w:val="33"/>
          <w:szCs w:val="33"/>
          <w:highlight w:val="none"/>
        </w:rPr>
        <w:t>拨款支出</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万元。</w:t>
      </w:r>
    </w:p>
    <w:p>
      <w:pPr>
        <w:numPr>
          <w:ilvl w:val="0"/>
          <w:numId w:val="0"/>
        </w:numPr>
        <w:spacing w:line="600" w:lineRule="exact"/>
        <w:ind w:firstLine="640" w:firstLineChars="200"/>
        <w:outlineLvl w:val="1"/>
        <w:rPr>
          <w:rStyle w:val="32"/>
          <w:rFonts w:hint="eastAsia" w:ascii="黑体" w:hAnsi="黑体" w:eastAsia="黑体"/>
          <w:b w:val="0"/>
          <w:color w:val="auto"/>
          <w:highlight w:val="none"/>
        </w:rPr>
      </w:pPr>
      <w:bookmarkStart w:id="58" w:name="_Toc15396612"/>
      <w:bookmarkStart w:id="59" w:name="_Toc15377221"/>
      <w:r>
        <w:rPr>
          <w:rStyle w:val="32"/>
          <w:rFonts w:hint="eastAsia" w:ascii="黑体" w:hAnsi="黑体" w:eastAsia="黑体"/>
          <w:b w:val="0"/>
          <w:color w:val="auto"/>
          <w:highlight w:val="none"/>
          <w:lang w:val="en-US" w:eastAsia="zh-CN"/>
        </w:rPr>
        <w:t>十一、</w:t>
      </w:r>
      <w:r>
        <w:rPr>
          <w:rStyle w:val="32"/>
          <w:rFonts w:hint="eastAsia" w:ascii="黑体" w:hAnsi="黑体" w:eastAsia="黑体"/>
          <w:b w:val="0"/>
          <w:color w:val="auto"/>
          <w:highlight w:val="none"/>
        </w:rPr>
        <w:t>其他重要事项的情况说明</w:t>
      </w:r>
      <w:bookmarkEnd w:id="58"/>
      <w:bookmarkEnd w:id="59"/>
    </w:p>
    <w:p>
      <w:pPr>
        <w:spacing w:line="600" w:lineRule="exact"/>
        <w:ind w:firstLine="643" w:firstLineChars="200"/>
        <w:outlineLvl w:val="2"/>
        <w:rPr>
          <w:rFonts w:hint="eastAsia" w:ascii="方正楷体_GBK" w:hAnsi="方正楷体_GBK" w:eastAsia="方正楷体_GBK" w:cs="方正楷体_GBK"/>
          <w:color w:val="auto"/>
          <w:sz w:val="32"/>
          <w:szCs w:val="32"/>
          <w:highlight w:val="none"/>
        </w:rPr>
      </w:pPr>
      <w:bookmarkStart w:id="60" w:name="_Toc15377222"/>
      <w:r>
        <w:rPr>
          <w:rFonts w:hint="eastAsia" w:ascii="方正楷体_GBK" w:hAnsi="方正楷体_GBK" w:eastAsia="方正楷体_GBK" w:cs="方正楷体_GBK"/>
          <w:b/>
          <w:color w:val="auto"/>
          <w:sz w:val="32"/>
          <w:szCs w:val="32"/>
          <w:highlight w:val="none"/>
        </w:rPr>
        <w:t>（一）机关运行经费支出情况</w:t>
      </w:r>
      <w:bookmarkEnd w:id="60"/>
    </w:p>
    <w:p>
      <w:pPr>
        <w:spacing w:line="600" w:lineRule="exact"/>
        <w:ind w:firstLine="660" w:firstLineChars="200"/>
        <w:rPr>
          <w:rFonts w:hint="eastAsia" w:ascii="仿宋_GB2312" w:eastAsia="仿宋_GB2312"/>
          <w:color w:val="0000FF"/>
          <w:sz w:val="32"/>
          <w:szCs w:val="32"/>
          <w:highlight w:val="none"/>
          <w:lang w:eastAsia="zh-CN"/>
        </w:rPr>
      </w:pPr>
      <w:r>
        <w:rPr>
          <w:rFonts w:hint="eastAsia" w:ascii="Times New Roman" w:hAnsi="Times New Roman" w:eastAsia="方正仿宋_GBK" w:cs="Times New Roman"/>
          <w:color w:val="auto"/>
          <w:sz w:val="33"/>
          <w:szCs w:val="33"/>
          <w:highlight w:val="none"/>
        </w:rPr>
        <w:t>20</w:t>
      </w:r>
      <w:r>
        <w:rPr>
          <w:rFonts w:hint="eastAsia" w:ascii="Times New Roman" w:hAnsi="Times New Roman" w:eastAsia="方正仿宋_GBK" w:cs="Times New Roman"/>
          <w:color w:val="auto"/>
          <w:sz w:val="33"/>
          <w:szCs w:val="33"/>
          <w:highlight w:val="none"/>
          <w:lang w:val="en-US" w:eastAsia="zh-CN"/>
        </w:rPr>
        <w:t>22</w:t>
      </w:r>
      <w:r>
        <w:rPr>
          <w:rFonts w:hint="eastAsia" w:ascii="Times New Roman" w:hAnsi="Times New Roman" w:eastAsia="方正仿宋_GBK" w:cs="Times New Roman"/>
          <w:color w:val="auto"/>
          <w:sz w:val="33"/>
          <w:szCs w:val="33"/>
          <w:highlight w:val="none"/>
        </w:rPr>
        <w:t>年，</w:t>
      </w:r>
      <w:r>
        <w:rPr>
          <w:rFonts w:hint="eastAsia" w:ascii="Times New Roman" w:hAnsi="Times New Roman" w:eastAsia="方正仿宋_GBK" w:cs="Times New Roman"/>
          <w:color w:val="auto"/>
          <w:sz w:val="33"/>
          <w:szCs w:val="33"/>
          <w:highlight w:val="none"/>
          <w:lang w:val="en-US" w:eastAsia="zh-CN"/>
        </w:rPr>
        <w:t>区委统战部</w:t>
      </w:r>
      <w:r>
        <w:rPr>
          <w:rFonts w:hint="eastAsia" w:ascii="Times New Roman" w:hAnsi="Times New Roman" w:eastAsia="方正仿宋_GBK" w:cs="Times New Roman"/>
          <w:color w:val="auto"/>
          <w:sz w:val="33"/>
          <w:szCs w:val="33"/>
          <w:highlight w:val="none"/>
        </w:rPr>
        <w:t>机关运行经费支出</w:t>
      </w:r>
      <w:r>
        <w:rPr>
          <w:rFonts w:hint="eastAsia" w:ascii="Times New Roman" w:hAnsi="Times New Roman" w:eastAsia="方正仿宋_GBK" w:cs="Times New Roman"/>
          <w:color w:val="auto"/>
          <w:sz w:val="33"/>
          <w:szCs w:val="33"/>
          <w:highlight w:val="none"/>
          <w:lang w:val="en-US" w:eastAsia="zh-CN"/>
        </w:rPr>
        <w:t>22.42</w:t>
      </w:r>
      <w:r>
        <w:rPr>
          <w:rFonts w:hint="eastAsia" w:ascii="Times New Roman" w:hAnsi="Times New Roman" w:eastAsia="方正仿宋_GBK" w:cs="Times New Roman"/>
          <w:color w:val="auto"/>
          <w:sz w:val="33"/>
          <w:szCs w:val="33"/>
          <w:highlight w:val="none"/>
        </w:rPr>
        <w:t>万元，比20</w:t>
      </w:r>
      <w:r>
        <w:rPr>
          <w:rFonts w:hint="eastAsia" w:ascii="Times New Roman" w:hAnsi="Times New Roman" w:eastAsia="方正仿宋_GBK" w:cs="Times New Roman"/>
          <w:color w:val="auto"/>
          <w:sz w:val="33"/>
          <w:szCs w:val="33"/>
          <w:highlight w:val="none"/>
          <w:lang w:val="en-US" w:eastAsia="zh-CN"/>
        </w:rPr>
        <w:t>21</w:t>
      </w:r>
      <w:r>
        <w:rPr>
          <w:rFonts w:hint="eastAsia" w:ascii="Times New Roman" w:hAnsi="Times New Roman" w:eastAsia="方正仿宋_GBK" w:cs="Times New Roman"/>
          <w:color w:val="auto"/>
          <w:sz w:val="33"/>
          <w:szCs w:val="33"/>
          <w:highlight w:val="none"/>
        </w:rPr>
        <w:t>年增加</w:t>
      </w:r>
      <w:r>
        <w:rPr>
          <w:rFonts w:hint="eastAsia" w:ascii="Times New Roman" w:hAnsi="Times New Roman" w:eastAsia="方正仿宋_GBK" w:cs="Times New Roman"/>
          <w:color w:val="auto"/>
          <w:sz w:val="33"/>
          <w:szCs w:val="33"/>
          <w:highlight w:val="none"/>
          <w:lang w:val="en-US" w:eastAsia="zh-CN"/>
        </w:rPr>
        <w:t>5</w:t>
      </w:r>
      <w:r>
        <w:rPr>
          <w:rFonts w:hint="eastAsia" w:ascii="Times New Roman" w:hAnsi="Times New Roman" w:eastAsia="方正仿宋_GBK" w:cs="Times New Roman"/>
          <w:color w:val="auto"/>
          <w:sz w:val="33"/>
          <w:szCs w:val="33"/>
          <w:highlight w:val="none"/>
        </w:rPr>
        <w:t>万元，增长</w:t>
      </w:r>
      <w:r>
        <w:rPr>
          <w:rFonts w:hint="eastAsia" w:ascii="Times New Roman" w:hAnsi="Times New Roman" w:eastAsia="方正仿宋_GBK" w:cs="Times New Roman"/>
          <w:color w:val="auto"/>
          <w:sz w:val="33"/>
          <w:szCs w:val="33"/>
          <w:highlight w:val="none"/>
          <w:lang w:val="en-US" w:eastAsia="zh-CN"/>
        </w:rPr>
        <w:t>28.7</w:t>
      </w:r>
      <w:r>
        <w:rPr>
          <w:rFonts w:hint="eastAsia" w:ascii="Times New Roman" w:hAnsi="Times New Roman" w:eastAsia="方正仿宋_GBK" w:cs="Times New Roman"/>
          <w:color w:val="auto"/>
          <w:sz w:val="33"/>
          <w:szCs w:val="33"/>
          <w:highlight w:val="none"/>
        </w:rPr>
        <w:t>%</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rPr>
        <w:t>主要原因是</w:t>
      </w:r>
      <w:r>
        <w:rPr>
          <w:rFonts w:hint="eastAsia" w:eastAsia="方正仿宋_GBK" w:cs="Times New Roman"/>
          <w:color w:val="auto"/>
          <w:sz w:val="33"/>
          <w:szCs w:val="33"/>
          <w:highlight w:val="none"/>
          <w:lang w:val="en-US" w:eastAsia="zh-CN"/>
        </w:rPr>
        <w:t>人员增加</w:t>
      </w:r>
      <w:r>
        <w:rPr>
          <w:rFonts w:hint="eastAsia" w:ascii="Times New Roman" w:hAnsi="Times New Roman" w:eastAsia="方正仿宋_GBK" w:cs="Times New Roman"/>
          <w:color w:val="auto"/>
          <w:sz w:val="33"/>
          <w:szCs w:val="33"/>
          <w:highlight w:val="none"/>
          <w:lang w:eastAsia="zh-CN"/>
        </w:rPr>
        <w:t>。</w:t>
      </w:r>
    </w:p>
    <w:p>
      <w:pPr>
        <w:spacing w:line="600" w:lineRule="exact"/>
        <w:ind w:firstLine="643" w:firstLineChars="200"/>
        <w:outlineLvl w:val="2"/>
        <w:rPr>
          <w:rFonts w:hint="eastAsia" w:ascii="方正楷体_GBK" w:hAnsi="方正楷体_GBK" w:eastAsia="方正楷体_GBK" w:cs="方正楷体_GBK"/>
          <w:b/>
          <w:color w:val="auto"/>
          <w:sz w:val="32"/>
          <w:szCs w:val="32"/>
          <w:highlight w:val="none"/>
        </w:rPr>
      </w:pPr>
      <w:bookmarkStart w:id="61" w:name="_Toc15377223"/>
      <w:r>
        <w:rPr>
          <w:rFonts w:hint="eastAsia" w:ascii="方正楷体_GBK" w:hAnsi="方正楷体_GBK" w:eastAsia="方正楷体_GBK" w:cs="方正楷体_GBK"/>
          <w:b/>
          <w:color w:val="auto"/>
          <w:sz w:val="32"/>
          <w:szCs w:val="32"/>
          <w:highlight w:val="none"/>
        </w:rPr>
        <w:t>（二）政府采购支出情况</w:t>
      </w:r>
      <w:bookmarkEnd w:id="61"/>
    </w:p>
    <w:p>
      <w:pPr>
        <w:spacing w:line="600" w:lineRule="exact"/>
        <w:ind w:firstLine="660" w:firstLineChars="200"/>
        <w:rPr>
          <w:rFonts w:hint="eastAsia" w:ascii="Times New Roman" w:hAnsi="Times New Roman" w:eastAsia="方正仿宋_GBK" w:cs="Times New Roman"/>
          <w:color w:val="auto"/>
          <w:sz w:val="33"/>
          <w:szCs w:val="33"/>
          <w:highlight w:val="none"/>
          <w:lang w:eastAsia="zh-CN"/>
        </w:rPr>
      </w:pPr>
      <w:r>
        <w:rPr>
          <w:rFonts w:hint="eastAsia" w:ascii="Times New Roman" w:hAnsi="Times New Roman" w:eastAsia="方正仿宋_GBK" w:cs="Times New Roman"/>
          <w:color w:val="auto"/>
          <w:sz w:val="33"/>
          <w:szCs w:val="33"/>
          <w:highlight w:val="none"/>
        </w:rPr>
        <w:t>20</w:t>
      </w:r>
      <w:r>
        <w:rPr>
          <w:rFonts w:hint="eastAsia" w:ascii="Times New Roman" w:hAnsi="Times New Roman" w:eastAsia="方正仿宋_GBK" w:cs="Times New Roman"/>
          <w:color w:val="auto"/>
          <w:sz w:val="33"/>
          <w:szCs w:val="33"/>
          <w:highlight w:val="none"/>
          <w:lang w:val="en-US" w:eastAsia="zh-CN"/>
        </w:rPr>
        <w:t>22</w:t>
      </w:r>
      <w:r>
        <w:rPr>
          <w:rFonts w:hint="eastAsia" w:ascii="Times New Roman" w:hAnsi="Times New Roman" w:eastAsia="方正仿宋_GBK" w:cs="Times New Roman"/>
          <w:color w:val="auto"/>
          <w:sz w:val="33"/>
          <w:szCs w:val="33"/>
          <w:highlight w:val="none"/>
        </w:rPr>
        <w:t>年，</w:t>
      </w:r>
      <w:r>
        <w:rPr>
          <w:rFonts w:hint="eastAsia" w:ascii="Times New Roman" w:hAnsi="Times New Roman" w:eastAsia="方正仿宋_GBK" w:cs="Times New Roman"/>
          <w:color w:val="auto"/>
          <w:sz w:val="33"/>
          <w:szCs w:val="33"/>
          <w:highlight w:val="none"/>
          <w:lang w:val="en-US" w:eastAsia="zh-CN"/>
        </w:rPr>
        <w:t>区委统战部</w:t>
      </w:r>
      <w:r>
        <w:rPr>
          <w:rFonts w:hint="eastAsia" w:ascii="Times New Roman" w:hAnsi="Times New Roman" w:eastAsia="方正仿宋_GBK" w:cs="Times New Roman"/>
          <w:color w:val="auto"/>
          <w:sz w:val="33"/>
          <w:szCs w:val="33"/>
          <w:highlight w:val="none"/>
        </w:rPr>
        <w:t>政府采购支出总额</w:t>
      </w:r>
      <w:r>
        <w:rPr>
          <w:rFonts w:hint="eastAsia" w:ascii="Times New Roman" w:hAnsi="Times New Roman" w:eastAsia="方正仿宋_GBK" w:cs="Times New Roman"/>
          <w:color w:val="auto"/>
          <w:sz w:val="33"/>
          <w:szCs w:val="33"/>
          <w:highlight w:val="none"/>
          <w:lang w:val="en-US" w:eastAsia="zh-CN"/>
        </w:rPr>
        <w:t>0</w:t>
      </w:r>
      <w:r>
        <w:rPr>
          <w:rFonts w:hint="eastAsia" w:ascii="Times New Roman" w:hAnsi="Times New Roman" w:eastAsia="方正仿宋_GBK" w:cs="Times New Roman"/>
          <w:color w:val="auto"/>
          <w:sz w:val="33"/>
          <w:szCs w:val="33"/>
          <w:highlight w:val="none"/>
        </w:rPr>
        <w:t>万元</w:t>
      </w:r>
      <w:r>
        <w:rPr>
          <w:rFonts w:hint="eastAsia" w:ascii="Times New Roman" w:hAnsi="Times New Roman" w:eastAsia="方正仿宋_GBK" w:cs="Times New Roman"/>
          <w:color w:val="auto"/>
          <w:sz w:val="33"/>
          <w:szCs w:val="33"/>
          <w:highlight w:val="none"/>
          <w:lang w:eastAsia="zh-CN"/>
        </w:rPr>
        <w:t>。</w:t>
      </w:r>
    </w:p>
    <w:p>
      <w:pPr>
        <w:spacing w:line="600" w:lineRule="exact"/>
        <w:ind w:firstLine="643" w:firstLineChars="200"/>
        <w:outlineLvl w:val="2"/>
        <w:rPr>
          <w:rFonts w:hint="eastAsia" w:ascii="方正楷体_GBK" w:hAnsi="方正楷体_GBK" w:eastAsia="方正楷体_GBK" w:cs="方正楷体_GBK"/>
          <w:b/>
          <w:color w:val="auto"/>
          <w:sz w:val="32"/>
          <w:szCs w:val="32"/>
          <w:highlight w:val="none"/>
        </w:rPr>
      </w:pPr>
      <w:bookmarkStart w:id="62" w:name="_Toc15377224"/>
      <w:r>
        <w:rPr>
          <w:rFonts w:hint="eastAsia" w:ascii="方正楷体_GBK" w:hAnsi="方正楷体_GBK" w:eastAsia="方正楷体_GBK" w:cs="方正楷体_GBK"/>
          <w:b/>
          <w:color w:val="auto"/>
          <w:sz w:val="32"/>
          <w:szCs w:val="32"/>
          <w:highlight w:val="none"/>
        </w:rPr>
        <w:t>（三）国有资产占有使用情况</w:t>
      </w:r>
      <w:bookmarkEnd w:id="62"/>
    </w:p>
    <w:p>
      <w:pPr>
        <w:spacing w:line="600" w:lineRule="exact"/>
        <w:ind w:firstLine="660" w:firstLineChars="200"/>
        <w:rPr>
          <w:rFonts w:hint="eastAsia" w:ascii="Times New Roman" w:hAnsi="Times New Roman" w:eastAsia="方正仿宋_GBK" w:cs="Times New Roman"/>
          <w:color w:val="auto"/>
          <w:sz w:val="33"/>
          <w:szCs w:val="33"/>
          <w:highlight w:val="none"/>
        </w:rPr>
      </w:pPr>
      <w:r>
        <w:rPr>
          <w:rFonts w:hint="eastAsia" w:ascii="Times New Roman" w:hAnsi="Times New Roman" w:eastAsia="方正仿宋_GBK" w:cs="Times New Roman"/>
          <w:color w:val="auto"/>
          <w:sz w:val="33"/>
          <w:szCs w:val="33"/>
          <w:highlight w:val="none"/>
        </w:rPr>
        <w:t>截至20</w:t>
      </w:r>
      <w:r>
        <w:rPr>
          <w:rFonts w:hint="eastAsia" w:ascii="Times New Roman" w:hAnsi="Times New Roman" w:eastAsia="方正仿宋_GBK" w:cs="Times New Roman"/>
          <w:color w:val="auto"/>
          <w:sz w:val="33"/>
          <w:szCs w:val="33"/>
          <w:highlight w:val="none"/>
          <w:lang w:val="en-US" w:eastAsia="zh-CN"/>
        </w:rPr>
        <w:t>22</w:t>
      </w:r>
      <w:r>
        <w:rPr>
          <w:rFonts w:hint="eastAsia" w:ascii="Times New Roman" w:hAnsi="Times New Roman" w:eastAsia="方正仿宋_GBK" w:cs="Times New Roman"/>
          <w:color w:val="auto"/>
          <w:sz w:val="33"/>
          <w:szCs w:val="33"/>
          <w:highlight w:val="none"/>
        </w:rPr>
        <w:t>年12月31日，</w:t>
      </w:r>
      <w:r>
        <w:rPr>
          <w:rFonts w:hint="eastAsia" w:ascii="Times New Roman" w:hAnsi="Times New Roman" w:eastAsia="方正仿宋_GBK" w:cs="Times New Roman"/>
          <w:color w:val="auto"/>
          <w:sz w:val="33"/>
          <w:szCs w:val="33"/>
          <w:highlight w:val="none"/>
          <w:lang w:val="en-US" w:eastAsia="zh-CN"/>
        </w:rPr>
        <w:t>区委统战部无</w:t>
      </w:r>
      <w:r>
        <w:rPr>
          <w:rFonts w:hint="eastAsia" w:ascii="Times New Roman" w:hAnsi="Times New Roman" w:eastAsia="方正仿宋_GBK" w:cs="Times New Roman"/>
          <w:color w:val="auto"/>
          <w:sz w:val="33"/>
          <w:szCs w:val="33"/>
          <w:highlight w:val="none"/>
        </w:rPr>
        <w:t>车辆</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lang w:val="en-US" w:eastAsia="zh-CN"/>
        </w:rPr>
        <w:t>无</w:t>
      </w:r>
      <w:r>
        <w:rPr>
          <w:rFonts w:hint="eastAsia" w:ascii="Times New Roman" w:hAnsi="Times New Roman" w:eastAsia="方正仿宋_GBK" w:cs="Times New Roman"/>
          <w:color w:val="auto"/>
          <w:sz w:val="33"/>
          <w:szCs w:val="33"/>
          <w:highlight w:val="none"/>
        </w:rPr>
        <w:t>单价100万元以上专用设备。</w:t>
      </w:r>
    </w:p>
    <w:p>
      <w:pPr>
        <w:spacing w:line="600" w:lineRule="exact"/>
        <w:ind w:firstLine="643" w:firstLineChars="200"/>
        <w:outlineLvl w:val="2"/>
        <w:rPr>
          <w:rFonts w:hint="eastAsia" w:ascii="方正楷体_GBK" w:hAnsi="方正楷体_GBK" w:eastAsia="方正楷体_GBK" w:cs="方正楷体_GBK"/>
          <w:b/>
          <w:color w:val="auto"/>
          <w:sz w:val="32"/>
          <w:szCs w:val="32"/>
          <w:highlight w:val="none"/>
        </w:rPr>
      </w:pPr>
      <w:r>
        <w:rPr>
          <w:rFonts w:hint="eastAsia" w:ascii="方正楷体_GBK" w:hAnsi="方正楷体_GBK" w:eastAsia="方正楷体_GBK" w:cs="方正楷体_GBK"/>
          <w:b/>
          <w:color w:val="auto"/>
          <w:sz w:val="32"/>
          <w:szCs w:val="32"/>
          <w:highlight w:val="none"/>
        </w:rPr>
        <w:t>（四）预算绩效管理情况</w:t>
      </w:r>
    </w:p>
    <w:p>
      <w:pPr>
        <w:spacing w:line="600" w:lineRule="exact"/>
        <w:ind w:firstLine="660" w:firstLineChars="200"/>
        <w:rPr>
          <w:rFonts w:hint="eastAsia" w:ascii="Times New Roman" w:hAnsi="Times New Roman" w:eastAsia="方正仿宋_GBK" w:cs="Times New Roman"/>
          <w:color w:val="auto"/>
          <w:sz w:val="33"/>
          <w:szCs w:val="33"/>
          <w:highlight w:val="none"/>
        </w:rPr>
      </w:pPr>
      <w:r>
        <w:rPr>
          <w:rFonts w:hint="eastAsia" w:ascii="Times New Roman" w:hAnsi="Times New Roman" w:eastAsia="方正仿宋_GBK" w:cs="Times New Roman"/>
          <w:color w:val="auto"/>
          <w:sz w:val="33"/>
          <w:szCs w:val="33"/>
          <w:highlight w:val="none"/>
        </w:rPr>
        <w:t>根据预算绩效管理要求，本部门在202</w:t>
      </w:r>
      <w:r>
        <w:rPr>
          <w:rFonts w:hint="eastAsia" w:ascii="Times New Roman" w:hAnsi="Times New Roman" w:eastAsia="方正仿宋_GBK" w:cs="Times New Roman"/>
          <w:color w:val="auto"/>
          <w:sz w:val="33"/>
          <w:szCs w:val="33"/>
          <w:highlight w:val="none"/>
          <w:lang w:val="en-US" w:eastAsia="zh-CN"/>
        </w:rPr>
        <w:t>2</w:t>
      </w:r>
      <w:r>
        <w:rPr>
          <w:rFonts w:hint="eastAsia" w:ascii="Times New Roman" w:hAnsi="Times New Roman" w:eastAsia="方正仿宋_GBK" w:cs="Times New Roman"/>
          <w:color w:val="auto"/>
          <w:sz w:val="33"/>
          <w:szCs w:val="33"/>
          <w:highlight w:val="none"/>
        </w:rPr>
        <w:t>年度预算编制阶段，组织对</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rPr>
        <w:t>民族工作机动金</w:t>
      </w:r>
      <w:r>
        <w:rPr>
          <w:rFonts w:hint="eastAsia" w:ascii="Times New Roman" w:hAnsi="Times New Roman" w:eastAsia="方正仿宋_GBK" w:cs="Times New Roman"/>
          <w:color w:val="auto"/>
          <w:sz w:val="33"/>
          <w:szCs w:val="33"/>
          <w:highlight w:val="none"/>
          <w:lang w:eastAsia="zh-CN"/>
        </w:rPr>
        <w:t>”“民族宗教工作经费”“民盟工作经费”“</w:t>
      </w:r>
      <w:r>
        <w:rPr>
          <w:rFonts w:hint="eastAsia" w:ascii="Times New Roman" w:hAnsi="Times New Roman" w:eastAsia="方正仿宋_GBK" w:cs="Times New Roman"/>
          <w:color w:val="auto"/>
          <w:sz w:val="33"/>
          <w:szCs w:val="33"/>
          <w:highlight w:val="none"/>
        </w:rPr>
        <w:t>宗教教职人员工作经费</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rPr>
        <w:t>等12个项目开展了预算事前绩效评估，对12个项目编制了绩效目标，预算执行过程中，选取</w:t>
      </w:r>
      <w:r>
        <w:rPr>
          <w:rFonts w:hint="eastAsia" w:ascii="Times New Roman" w:hAnsi="Times New Roman" w:eastAsia="方正仿宋_GBK" w:cs="Times New Roman"/>
          <w:color w:val="auto"/>
          <w:sz w:val="33"/>
          <w:szCs w:val="33"/>
          <w:highlight w:val="none"/>
          <w:lang w:val="en-US" w:eastAsia="zh-CN"/>
        </w:rPr>
        <w:t>12</w:t>
      </w:r>
      <w:r>
        <w:rPr>
          <w:rFonts w:hint="eastAsia" w:ascii="Times New Roman" w:hAnsi="Times New Roman" w:eastAsia="方正仿宋_GBK" w:cs="Times New Roman"/>
          <w:color w:val="auto"/>
          <w:sz w:val="33"/>
          <w:szCs w:val="33"/>
          <w:highlight w:val="none"/>
        </w:rPr>
        <w:t>个项目开展绩效监控，年终执行完毕后，对</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rPr>
        <w:t>宗教教职人员工作经费</w:t>
      </w:r>
      <w:r>
        <w:rPr>
          <w:rFonts w:hint="eastAsia" w:ascii="Times New Roman" w:hAnsi="Times New Roman" w:eastAsia="方正仿宋_GBK" w:cs="Times New Roman"/>
          <w:color w:val="auto"/>
          <w:sz w:val="33"/>
          <w:szCs w:val="33"/>
          <w:highlight w:val="none"/>
          <w:lang w:eastAsia="zh-CN"/>
        </w:rPr>
        <w:t>”</w:t>
      </w:r>
      <w:r>
        <w:rPr>
          <w:rFonts w:hint="eastAsia" w:ascii="Times New Roman" w:hAnsi="Times New Roman" w:eastAsia="方正仿宋_GBK" w:cs="Times New Roman"/>
          <w:color w:val="auto"/>
          <w:sz w:val="33"/>
          <w:szCs w:val="33"/>
          <w:highlight w:val="none"/>
          <w:lang w:val="en-US" w:eastAsia="zh-CN"/>
        </w:rPr>
        <w:t>等</w:t>
      </w:r>
      <w:r>
        <w:rPr>
          <w:rFonts w:hint="eastAsia" w:ascii="Times New Roman" w:hAnsi="Times New Roman" w:eastAsia="方正仿宋_GBK" w:cs="Times New Roman"/>
          <w:color w:val="auto"/>
          <w:sz w:val="33"/>
          <w:szCs w:val="33"/>
          <w:highlight w:val="none"/>
        </w:rPr>
        <w:t>项目开展了绩效自评。</w:t>
      </w:r>
    </w:p>
    <w:p>
      <w:pPr>
        <w:widowControl/>
        <w:jc w:val="left"/>
        <w:rPr>
          <w:rFonts w:hint="eastAsia" w:ascii="Times New Roman" w:hAnsi="Times New Roman" w:eastAsia="方正仿宋_GBK" w:cs="Times New Roman"/>
          <w:color w:val="auto"/>
          <w:sz w:val="33"/>
          <w:szCs w:val="33"/>
          <w:highlight w:val="none"/>
        </w:rPr>
      </w:pPr>
      <w:r>
        <w:rPr>
          <w:rFonts w:hint="eastAsia" w:ascii="Times New Roman" w:hAnsi="Times New Roman" w:eastAsia="方正仿宋_GBK" w:cs="Times New Roman"/>
          <w:color w:val="auto"/>
          <w:sz w:val="33"/>
          <w:szCs w:val="33"/>
          <w:highlight w:val="none"/>
        </w:rPr>
        <w:t>组织对2022年度一般公共预算、政府性基金预算、国有资本经营预算、社会保险基金预算以及资本资产、债券资金等全面开展绩效自评，形成</w:t>
      </w:r>
      <w:r>
        <w:rPr>
          <w:rFonts w:hint="eastAsia" w:ascii="Times New Roman" w:hAnsi="Times New Roman" w:eastAsia="方正仿宋_GBK" w:cs="Times New Roman"/>
          <w:color w:val="auto"/>
          <w:sz w:val="33"/>
          <w:szCs w:val="33"/>
          <w:highlight w:val="none"/>
          <w:lang w:val="en-US" w:eastAsia="zh-CN"/>
        </w:rPr>
        <w:t>区委统战部</w:t>
      </w:r>
      <w:r>
        <w:rPr>
          <w:rFonts w:hint="eastAsia" w:ascii="Times New Roman" w:hAnsi="Times New Roman" w:eastAsia="方正仿宋_GBK" w:cs="Times New Roman"/>
          <w:color w:val="auto"/>
          <w:sz w:val="33"/>
          <w:szCs w:val="33"/>
          <w:highlight w:val="none"/>
        </w:rPr>
        <w:t>部门整体（含部门预算项目）绩效自评报告、2023年省级专项资金（少数民族发展任务）预算项目绩效自评报告，其中，</w:t>
      </w:r>
      <w:r>
        <w:rPr>
          <w:rFonts w:hint="eastAsia" w:ascii="Times New Roman" w:hAnsi="Times New Roman" w:eastAsia="方正仿宋_GBK" w:cs="Times New Roman"/>
          <w:color w:val="auto"/>
          <w:sz w:val="33"/>
          <w:szCs w:val="33"/>
          <w:highlight w:val="none"/>
          <w:lang w:val="en-US" w:eastAsia="zh-CN"/>
        </w:rPr>
        <w:t>区委统战部</w:t>
      </w:r>
      <w:r>
        <w:rPr>
          <w:rFonts w:hint="eastAsia" w:ascii="Times New Roman" w:hAnsi="Times New Roman" w:eastAsia="方正仿宋_GBK" w:cs="Times New Roman"/>
          <w:color w:val="auto"/>
          <w:sz w:val="33"/>
          <w:szCs w:val="33"/>
          <w:highlight w:val="none"/>
        </w:rPr>
        <w:t>部门整体（含部门预算项目）绩效自评得分为</w:t>
      </w:r>
      <w:r>
        <w:rPr>
          <w:rFonts w:hint="eastAsia" w:ascii="Times New Roman" w:hAnsi="Times New Roman" w:eastAsia="方正仿宋_GBK" w:cs="Times New Roman"/>
          <w:color w:val="auto"/>
          <w:sz w:val="33"/>
          <w:szCs w:val="33"/>
          <w:highlight w:val="none"/>
          <w:lang w:val="en-US" w:eastAsia="zh-CN"/>
        </w:rPr>
        <w:t>94</w:t>
      </w:r>
      <w:r>
        <w:rPr>
          <w:rFonts w:hint="eastAsia" w:ascii="Times New Roman" w:hAnsi="Times New Roman" w:eastAsia="方正仿宋_GBK" w:cs="Times New Roman"/>
          <w:color w:val="auto"/>
          <w:sz w:val="33"/>
          <w:szCs w:val="33"/>
          <w:highlight w:val="none"/>
        </w:rPr>
        <w:t>分，绩效自评综述：2022年本单位及时、准确、优质地完成了预算编制。预算执行情况良好，支出管理规范，未出现因违规支出受到相关监督部门批评或处理的情况。资金管理制度较为完善，会计核算和账务处理规范，会计资料完整。2023年省级专项资金（少数民族发展任务）预算项目绩效自评得分为</w:t>
      </w:r>
      <w:r>
        <w:rPr>
          <w:rFonts w:hint="eastAsia" w:ascii="Times New Roman" w:hAnsi="Times New Roman" w:eastAsia="方正仿宋_GBK" w:cs="Times New Roman"/>
          <w:color w:val="auto"/>
          <w:sz w:val="33"/>
          <w:szCs w:val="33"/>
          <w:highlight w:val="none"/>
          <w:lang w:val="en-US" w:eastAsia="zh-CN"/>
        </w:rPr>
        <w:t>95</w:t>
      </w:r>
      <w:r>
        <w:rPr>
          <w:rFonts w:hint="eastAsia" w:ascii="Times New Roman" w:hAnsi="Times New Roman" w:eastAsia="方正仿宋_GBK" w:cs="Times New Roman"/>
          <w:color w:val="auto"/>
          <w:sz w:val="33"/>
          <w:szCs w:val="33"/>
          <w:highlight w:val="none"/>
        </w:rPr>
        <w:t>分，绩效自评综述：预算绩效管理经费项目执行情况良好。</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31"/>
          <w:rFonts w:ascii="黑体" w:hAnsi="黑体" w:eastAsia="黑体"/>
          <w:b w:val="0"/>
          <w:color w:val="auto"/>
          <w:highlight w:val="none"/>
        </w:rPr>
      </w:pPr>
      <w:bookmarkStart w:id="63" w:name="_Toc15396613"/>
      <w:bookmarkStart w:id="64"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63"/>
      <w:bookmarkEnd w:id="64"/>
    </w:p>
    <w:p>
      <w:pPr>
        <w:spacing w:line="600" w:lineRule="exact"/>
        <w:jc w:val="left"/>
        <w:rPr>
          <w:rFonts w:ascii="宋体"/>
          <w:b/>
          <w:color w:val="auto"/>
          <w:sz w:val="44"/>
          <w:szCs w:val="44"/>
          <w:highlight w:val="none"/>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1.财政拨款收入：指单位从同级财政部门取得的财政预算资金。</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2.事业收入：指事业单位开展专业业务活动及辅助活动取得的收入。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3.经营收入：指事业单位在专业业务活动及其辅助活动之外开展非独立核算经营活动取得的收入。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4.其他收入：指单位取得的除上述收入以外的各项收入。</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6.年初结转和结余：指以前年度尚未完成、结转到本年按有关规定继续使用的资金。</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7.结余分配：指事业单位按照事业单位会计制度的规定从非财政补助结余中分配的事业基金和职工福利基金等。</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8.年末结转和结余：指单位按有关规定结转到下年或以后年度继续使用的资金。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9.一般公共服务（类）民主党派及工商联事务（款）一般行政管理事务（项）和其他民主党派及工商联事务支出（项）:反映民主党派（民革、民盟、民建、民进等）及办事机构的支出，工商联的支出。</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10.社会保障和就业（类）行政事业单位养老支出（款）机关事业单位基本养老保险缴费支出（项）：反映机关事业单位实施养老保险制度由单位缴纳的基本养老保险费支出。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11.卫生健康（类）公共卫生（款）行政事业单位医疗（项）:行政单位（包括实行公务员管理的事业单位）基本医疗保障缴费经费，未参加医疗保险的行政单位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12.农林水（类）巩固脱贫衔接乡村振兴（款）:反映用于农村（包括国有农场、国有林场）巩固拓展脱贫攻坚成果同乡村振兴有效等方面的支出。</w:t>
      </w:r>
    </w:p>
    <w:p>
      <w:pPr>
        <w:ind w:firstLine="660" w:firstLineChars="20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13.基本支出：指为保障机构正常运转、完成日常工作任务而发生的人员支出和公用支出。</w:t>
      </w:r>
    </w:p>
    <w:p>
      <w:pPr>
        <w:ind w:firstLine="660" w:firstLineChars="20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 xml:space="preserve">14.项目支出：指在基本支出之外为完成特定行政任务和事业发展目标所发生的支出。 </w:t>
      </w:r>
    </w:p>
    <w:p>
      <w:pPr>
        <w:ind w:firstLine="660" w:firstLineChars="20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15.经营支出：指事业单位在专业业务活动及其辅助活动之外开展非独立核算经营活动发生的支出。</w:t>
      </w:r>
    </w:p>
    <w:p>
      <w:pPr>
        <w:pStyle w:val="29"/>
        <w:spacing w:line="560" w:lineRule="exact"/>
        <w:ind w:firstLine="660" w:firstLineChars="20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60" w:firstLineChars="200"/>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17.机关运行经费：为保障行政单位（含参照《中华人民共和国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90" w:lineRule="exact"/>
        <w:jc w:val="center"/>
        <w:textAlignment w:val="auto"/>
        <w:outlineLvl w:val="0"/>
        <w:rPr>
          <w:rStyle w:val="31"/>
          <w:rFonts w:hint="eastAsia" w:ascii="黑体" w:hAnsi="黑体" w:eastAsia="黑体"/>
          <w:b w:val="0"/>
          <w:color w:val="auto"/>
          <w:highlight w:val="none"/>
          <w:lang w:eastAsia="zh-CN"/>
        </w:rPr>
      </w:pPr>
      <w:bookmarkStart w:id="65" w:name="_Toc15377226"/>
      <w:r>
        <w:rPr>
          <w:rFonts w:ascii="宋体"/>
          <w:b/>
          <w:color w:val="auto"/>
          <w:sz w:val="44"/>
          <w:szCs w:val="44"/>
          <w:highlight w:val="none"/>
        </w:rPr>
        <w:br w:type="page"/>
      </w:r>
      <w:bookmarkStart w:id="66"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66"/>
    </w:p>
    <w:p>
      <w:pPr>
        <w:keepNext w:val="0"/>
        <w:keepLines w:val="0"/>
        <w:pageBreakBefore w:val="0"/>
        <w:kinsoku/>
        <w:wordWrap/>
        <w:overflowPunct/>
        <w:topLinePunct w:val="0"/>
        <w:autoSpaceDE/>
        <w:autoSpaceDN/>
        <w:bidi w:val="0"/>
        <w:adjustRightInd/>
        <w:snapToGrid/>
        <w:spacing w:line="590"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590" w:lineRule="exact"/>
        <w:contextualSpacing/>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rPr>
      </w:pPr>
    </w:p>
    <w:p>
      <w:pPr>
        <w:keepNext w:val="0"/>
        <w:keepLines w:val="0"/>
        <w:pageBreakBefore w:val="0"/>
        <w:widowControl/>
        <w:kinsoku/>
        <w:wordWrap/>
        <w:overflowPunct/>
        <w:topLinePunct w:val="0"/>
        <w:autoSpaceDE/>
        <w:autoSpaceDN/>
        <w:bidi w:val="0"/>
        <w:adjustRightInd/>
        <w:snapToGrid/>
        <w:spacing w:line="590" w:lineRule="exact"/>
        <w:contextualSpacing/>
        <w:jc w:val="center"/>
        <w:textAlignment w:val="auto"/>
        <w:rPr>
          <w:rFonts w:ascii="宋体" w:hAnsi="宋体" w:eastAsia="宋体"/>
          <w:b/>
          <w:color w:val="auto"/>
          <w:sz w:val="32"/>
          <w:szCs w:val="32"/>
          <w:highlight w:val="none"/>
          <w:shd w:val="clear" w:color="auto" w:fill="FFFFFF"/>
        </w:rPr>
      </w:pPr>
      <w:r>
        <w:rPr>
          <w:rFonts w:hint="eastAsia" w:ascii="方正小标宋_GBK" w:hAnsi="方正小标宋_GBK" w:eastAsia="方正小标宋_GBK" w:cs="方正小标宋_GBK"/>
          <w:b w:val="0"/>
          <w:bCs/>
          <w:color w:val="auto"/>
          <w:sz w:val="44"/>
          <w:szCs w:val="44"/>
          <w:highlight w:val="none"/>
          <w:shd w:val="clear" w:color="auto" w:fill="FFFFFF"/>
        </w:rPr>
        <w:t>20</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22</w:t>
      </w:r>
      <w:r>
        <w:rPr>
          <w:rFonts w:hint="eastAsia" w:ascii="方正小标宋_GBK" w:hAnsi="方正小标宋_GBK" w:eastAsia="方正小标宋_GBK" w:cs="方正小标宋_GBK"/>
          <w:b w:val="0"/>
          <w:bCs/>
          <w:color w:val="auto"/>
          <w:sz w:val="44"/>
          <w:szCs w:val="44"/>
          <w:highlight w:val="none"/>
          <w:shd w:val="clear" w:color="auto" w:fill="FFFFFF"/>
        </w:rPr>
        <w:t>年</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区委统战部</w:t>
      </w:r>
      <w:r>
        <w:rPr>
          <w:rFonts w:hint="eastAsia" w:ascii="方正小标宋_GBK" w:hAnsi="方正小标宋_GBK" w:eastAsia="方正小标宋_GBK" w:cs="方正小标宋_GBK"/>
          <w:b w:val="0"/>
          <w:bCs/>
          <w:color w:val="auto"/>
          <w:sz w:val="44"/>
          <w:szCs w:val="44"/>
          <w:highlight w:val="none"/>
          <w:shd w:val="clear" w:color="auto" w:fill="FFFFFF"/>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9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方正楷体_GBK" w:hAnsi="方正楷体_GBK" w:eastAsia="方正楷体_GBK" w:cs="方正楷体_GBK"/>
          <w:b/>
          <w:sz w:val="32"/>
          <w:szCs w:val="32"/>
          <w:lang w:val="en-US" w:eastAsia="zh-CN"/>
        </w:rPr>
      </w:pPr>
      <w:r>
        <w:rPr>
          <w:rFonts w:hint="eastAsia" w:ascii="方正楷体_GBK" w:hAnsi="方正楷体_GBK" w:eastAsia="方正楷体_GBK" w:cs="方正楷体_GBK"/>
          <w:b/>
          <w:sz w:val="32"/>
          <w:szCs w:val="32"/>
        </w:rPr>
        <w:t>（一）</w:t>
      </w:r>
      <w:r>
        <w:rPr>
          <w:rFonts w:hint="eastAsia" w:ascii="方正楷体_GBK" w:hAnsi="方正楷体_GBK" w:eastAsia="方正楷体_GBK" w:cs="方正楷体_GBK"/>
          <w:b/>
          <w:sz w:val="32"/>
          <w:szCs w:val="32"/>
          <w:lang w:val="en-US" w:eastAsia="zh-CN"/>
        </w:rPr>
        <w:t>机构组成</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区委统战部下属事业单位1个，下属单位不单独核算、不单独预算，由区委统战部统一预算</w:t>
      </w:r>
      <w:r>
        <w:rPr>
          <w:rFonts w:hint="eastAsia" w:ascii="Times New Roman" w:hAnsi="Times New Roman" w:eastAsia="方正仿宋_GBK" w:cs="Times New Roman"/>
          <w:color w:val="auto"/>
          <w:kern w:val="2"/>
          <w:sz w:val="33"/>
          <w:szCs w:val="33"/>
          <w:highlight w:val="none"/>
          <w:lang w:val="en-US" w:eastAsia="zh-CN" w:bidi="ar-SA"/>
        </w:rPr>
        <w:t>；区委统战部内设股室3个，分别为办公室、综合业务股、民族宗教股；区委统战部代管区侨联，区侨联内设股室1个，为联络股。</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default" w:ascii="方正楷体_GBK" w:hAnsi="方正楷体_GBK" w:eastAsia="方正楷体_GBK" w:cs="方正楷体_GBK"/>
          <w:b/>
          <w:sz w:val="32"/>
          <w:szCs w:val="32"/>
          <w:lang w:val="en-US"/>
        </w:rPr>
      </w:pPr>
      <w:r>
        <w:rPr>
          <w:rFonts w:hint="eastAsia" w:ascii="方正楷体_GBK" w:hAnsi="方正楷体_GBK" w:eastAsia="方正楷体_GBK" w:cs="方正楷体_GBK"/>
          <w:b/>
          <w:sz w:val="32"/>
          <w:szCs w:val="32"/>
          <w:lang w:val="en-US" w:eastAsia="zh-CN"/>
        </w:rPr>
        <w:t>（二）机构职能和人员概况</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1.宣传、贯彻执行中央、省、市、区委统一战线的方针政策；</w:t>
      </w:r>
      <w:r>
        <w:rPr>
          <w:rFonts w:hint="default" w:ascii="Times New Roman" w:hAnsi="Times New Roman" w:eastAsia="方正仿宋_GBK" w:cs="Times New Roman"/>
          <w:color w:val="auto"/>
          <w:kern w:val="2"/>
          <w:sz w:val="33"/>
          <w:szCs w:val="33"/>
          <w:highlight w:val="none"/>
          <w:lang w:val="en-US" w:eastAsia="zh-CN" w:bidi="ar-SA"/>
        </w:rPr>
        <w:t>协调、监督、检查全区统一战线工作；调查研究统一战线的理论政策；向区委反映统一战线全面情况，提出开展统战工作的意见和建议。</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2.</w:t>
      </w:r>
      <w:r>
        <w:rPr>
          <w:rFonts w:hint="default" w:ascii="Times New Roman" w:hAnsi="Times New Roman" w:eastAsia="方正仿宋_GBK" w:cs="Times New Roman"/>
          <w:color w:val="auto"/>
          <w:kern w:val="2"/>
          <w:sz w:val="33"/>
          <w:szCs w:val="33"/>
          <w:highlight w:val="none"/>
          <w:lang w:val="en-US" w:eastAsia="zh-CN" w:bidi="ar-SA"/>
        </w:rPr>
        <w:t>负责联系全区各民主党派和无党派人士，及时通报情况，了解和反映他们的意见和建议；贯彻落实党领导下的多党合作和政治协商制度以及对民主党派的方针、政策，做好其代表人物的工作。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3.</w:t>
      </w:r>
      <w:r>
        <w:rPr>
          <w:rFonts w:hint="default" w:ascii="Times New Roman" w:hAnsi="Times New Roman" w:eastAsia="方正仿宋_GBK" w:cs="Times New Roman"/>
          <w:color w:val="auto"/>
          <w:kern w:val="2"/>
          <w:sz w:val="33"/>
          <w:szCs w:val="33"/>
          <w:highlight w:val="none"/>
          <w:lang w:val="en-US" w:eastAsia="zh-CN" w:bidi="ar-SA"/>
        </w:rPr>
        <w:t>贯彻党的民族、宗教政策，检查民族宗教方针、政策的执行情况；调查和及时处理民族、宗教方面的新情况、新问题；协调民族宗教工作关系；联系少数民族和宗教界的代表人物，协助有关部门做好少数民族干部的培养和举荐工作；负责牵头协调有关部门对国外敌对势力分裂祖国活动的斗争。</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4.</w:t>
      </w:r>
      <w:r>
        <w:rPr>
          <w:rFonts w:hint="default" w:ascii="Times New Roman" w:hAnsi="Times New Roman" w:eastAsia="方正仿宋_GBK" w:cs="Times New Roman"/>
          <w:color w:val="auto"/>
          <w:kern w:val="2"/>
          <w:sz w:val="33"/>
          <w:szCs w:val="33"/>
          <w:highlight w:val="none"/>
          <w:lang w:val="en-US" w:eastAsia="zh-CN" w:bidi="ar-SA"/>
        </w:rPr>
        <w:t>负责开展以祖国统一为重点的海外统战工作；联系香港、澳门和海外有关社团及代表人士；做好侨、台胞和其家属的有关工作。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5.</w:t>
      </w:r>
      <w:r>
        <w:rPr>
          <w:rFonts w:hint="default" w:ascii="Times New Roman" w:hAnsi="Times New Roman" w:eastAsia="方正仿宋_GBK" w:cs="Times New Roman"/>
          <w:color w:val="auto"/>
          <w:kern w:val="2"/>
          <w:sz w:val="33"/>
          <w:szCs w:val="33"/>
          <w:highlight w:val="none"/>
          <w:lang w:val="en-US" w:eastAsia="zh-CN" w:bidi="ar-SA"/>
        </w:rPr>
        <w:t>负责党外人士的政治安排，做好区人大党外代表、区政协委员的安排工作；会同有关部门做好培养、考察选拔、推荐安排党外人士担任政府和司法机关领导职务工作；做好党外后备干部和新的代表人物队伍的建设工作；受区委委托，领导区工商联党组、指导区工商联工作；协助工商联、民主党派组织做好干部管理工作；指导有关统战团体和人民团体（含台湾同胞联谊会）的统战工作；协助区委组织部做好区级统战系统市级管理干部的推荐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6.</w:t>
      </w:r>
      <w:r>
        <w:rPr>
          <w:rFonts w:hint="default" w:ascii="Times New Roman" w:hAnsi="Times New Roman" w:eastAsia="方正仿宋_GBK" w:cs="Times New Roman"/>
          <w:color w:val="auto"/>
          <w:kern w:val="2"/>
          <w:sz w:val="33"/>
          <w:szCs w:val="33"/>
          <w:highlight w:val="none"/>
          <w:lang w:val="en-US" w:eastAsia="zh-CN" w:bidi="ar-SA"/>
        </w:rPr>
        <w:t>负责联系海外工商界社团和代表人士。调查研究并反映我区非公有制经济代表人士的情况，协调关系，提出政策性建议；团结、帮助、引导、教育非公有制经济代表人士，积极开展思想政治工作。组织和推动各民主党派、工商联及统一战线各个方面积极为经济建设服务。</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7.</w:t>
      </w:r>
      <w:r>
        <w:rPr>
          <w:rFonts w:hint="default" w:ascii="Times New Roman" w:hAnsi="Times New Roman" w:eastAsia="方正仿宋_GBK" w:cs="Times New Roman"/>
          <w:color w:val="auto"/>
          <w:kern w:val="2"/>
          <w:sz w:val="33"/>
          <w:szCs w:val="33"/>
          <w:highlight w:val="none"/>
          <w:lang w:val="en-US" w:eastAsia="zh-CN" w:bidi="ar-SA"/>
        </w:rPr>
        <w:t>调查研究我区党外知识分子情况，反映意见，协调关系，提出政策建议；联系并培养推荐、安排使用党外知识分子代表人物。</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8.</w:t>
      </w:r>
      <w:r>
        <w:rPr>
          <w:rFonts w:hint="default" w:ascii="Times New Roman" w:hAnsi="Times New Roman" w:eastAsia="方正仿宋_GBK" w:cs="Times New Roman"/>
          <w:color w:val="auto"/>
          <w:kern w:val="2"/>
          <w:sz w:val="33"/>
          <w:szCs w:val="33"/>
          <w:highlight w:val="none"/>
          <w:lang w:val="en-US" w:eastAsia="zh-CN" w:bidi="ar-SA"/>
        </w:rPr>
        <w:t>负责开展海内外统一战线的宣传工作。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9.</w:t>
      </w:r>
      <w:r>
        <w:rPr>
          <w:rFonts w:hint="default" w:ascii="Times New Roman" w:hAnsi="Times New Roman" w:eastAsia="方正仿宋_GBK" w:cs="Times New Roman"/>
          <w:color w:val="auto"/>
          <w:kern w:val="2"/>
          <w:sz w:val="33"/>
          <w:szCs w:val="33"/>
          <w:highlight w:val="none"/>
          <w:lang w:val="en-US" w:eastAsia="zh-CN" w:bidi="ar-SA"/>
        </w:rPr>
        <w:t>负责指导乡镇、街道的统战、民族宗教工作；组织统战系统干部的培训工作；协调政府有关部门的统战工作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Times New Roman" w:hAnsi="Times New Roman" w:eastAsia="方正仿宋_GBK" w:cs="Times New Roman"/>
          <w:color w:val="auto"/>
          <w:kern w:val="2"/>
          <w:sz w:val="33"/>
          <w:szCs w:val="33"/>
          <w:highlight w:val="none"/>
          <w:lang w:val="en-US" w:eastAsia="zh-CN" w:bidi="ar-SA"/>
        </w:rPr>
        <w:t>10.</w:t>
      </w:r>
      <w:r>
        <w:rPr>
          <w:rFonts w:hint="default" w:ascii="Times New Roman" w:hAnsi="Times New Roman" w:eastAsia="方正仿宋_GBK" w:cs="Times New Roman"/>
          <w:color w:val="auto"/>
          <w:kern w:val="2"/>
          <w:sz w:val="33"/>
          <w:szCs w:val="33"/>
          <w:highlight w:val="none"/>
          <w:lang w:val="en-US" w:eastAsia="zh-CN" w:bidi="ar-SA"/>
        </w:rPr>
        <w:t>指导、协调区委台湾工作领导小组办公室工作。</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default" w:ascii="Times New Roman" w:hAnsi="Times New Roman" w:eastAsia="方正仿宋_GBK" w:cs="Times New Roman"/>
          <w:color w:val="auto"/>
          <w:kern w:val="2"/>
          <w:sz w:val="33"/>
          <w:szCs w:val="33"/>
          <w:highlight w:val="none"/>
          <w:lang w:val="en-US" w:eastAsia="zh-CN" w:bidi="ar-SA"/>
        </w:rPr>
        <w:t>区委统战部在政府编制管理部门核定的编制内、由单位人事部门管理的</w:t>
      </w:r>
      <w:r>
        <w:rPr>
          <w:rFonts w:hint="eastAsia" w:ascii="Times New Roman" w:hAnsi="Times New Roman" w:eastAsia="方正仿宋_GBK" w:cs="Times New Roman"/>
          <w:color w:val="auto"/>
          <w:kern w:val="2"/>
          <w:sz w:val="33"/>
          <w:szCs w:val="33"/>
          <w:highlight w:val="none"/>
          <w:lang w:val="en-US" w:eastAsia="zh-CN" w:bidi="ar-SA"/>
        </w:rPr>
        <w:t>截止2022年12月31日</w:t>
      </w:r>
      <w:r>
        <w:rPr>
          <w:rFonts w:hint="default" w:ascii="Times New Roman" w:hAnsi="Times New Roman" w:eastAsia="方正仿宋_GBK" w:cs="Times New Roman"/>
          <w:color w:val="auto"/>
          <w:kern w:val="2"/>
          <w:sz w:val="33"/>
          <w:szCs w:val="33"/>
          <w:highlight w:val="none"/>
          <w:lang w:val="en-US" w:eastAsia="zh-CN" w:bidi="ar-SA"/>
        </w:rPr>
        <w:t>实有在职人数共</w:t>
      </w:r>
      <w:r>
        <w:rPr>
          <w:rFonts w:hint="eastAsia" w:ascii="Times New Roman" w:hAnsi="Times New Roman" w:eastAsia="方正仿宋_GBK" w:cs="Times New Roman"/>
          <w:color w:val="auto"/>
          <w:kern w:val="2"/>
          <w:sz w:val="33"/>
          <w:szCs w:val="33"/>
          <w:highlight w:val="none"/>
          <w:lang w:val="en-US" w:eastAsia="zh-CN" w:bidi="ar-SA"/>
        </w:rPr>
        <w:t>14</w:t>
      </w:r>
      <w:r>
        <w:rPr>
          <w:rFonts w:hint="default" w:ascii="Times New Roman" w:hAnsi="Times New Roman" w:eastAsia="方正仿宋_GBK" w:cs="Times New Roman"/>
          <w:color w:val="auto"/>
          <w:kern w:val="2"/>
          <w:sz w:val="33"/>
          <w:szCs w:val="33"/>
          <w:highlight w:val="none"/>
          <w:lang w:val="en-US" w:eastAsia="zh-CN" w:bidi="ar-SA"/>
        </w:rPr>
        <w:t>人。</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方正楷体_GBK" w:hAnsi="方正楷体_GBK" w:eastAsia="方正楷体_GBK" w:cs="方正楷体_GBK"/>
          <w:b/>
          <w:bCs/>
          <w:color w:val="auto"/>
          <w:kern w:val="0"/>
          <w:sz w:val="32"/>
          <w:szCs w:val="32"/>
          <w:highlight w:val="none"/>
          <w:shd w:val="clear" w:color="auto" w:fill="FFFFFF"/>
          <w:lang w:val="zh-CN"/>
        </w:rPr>
      </w:pPr>
      <w:r>
        <w:rPr>
          <w:rFonts w:hint="eastAsia" w:ascii="方正楷体_GBK" w:hAnsi="方正楷体_GBK" w:eastAsia="方正楷体_GBK" w:cs="方正楷体_GBK"/>
          <w:b/>
          <w:bCs/>
          <w:color w:val="auto"/>
          <w:kern w:val="0"/>
          <w:sz w:val="32"/>
          <w:szCs w:val="32"/>
          <w:highlight w:val="none"/>
          <w:shd w:val="clear" w:color="auto" w:fill="FFFFFF"/>
          <w:lang w:val="zh-CN"/>
        </w:rPr>
        <w:t>（</w:t>
      </w:r>
      <w:r>
        <w:rPr>
          <w:rFonts w:hint="eastAsia" w:ascii="方正楷体_GBK" w:hAnsi="方正楷体_GBK" w:eastAsia="方正楷体_GBK" w:cs="方正楷体_GBK"/>
          <w:b/>
          <w:bCs/>
          <w:color w:val="auto"/>
          <w:kern w:val="0"/>
          <w:sz w:val="32"/>
          <w:szCs w:val="32"/>
          <w:highlight w:val="none"/>
          <w:shd w:val="clear" w:color="auto" w:fill="FFFFFF"/>
          <w:lang w:val="en-US" w:eastAsia="zh-CN"/>
        </w:rPr>
        <w:t>三</w:t>
      </w:r>
      <w:r>
        <w:rPr>
          <w:rFonts w:hint="eastAsia" w:ascii="方正楷体_GBK" w:hAnsi="方正楷体_GBK" w:eastAsia="方正楷体_GBK" w:cs="方正楷体_GBK"/>
          <w:b/>
          <w:bCs/>
          <w:color w:val="auto"/>
          <w:kern w:val="0"/>
          <w:sz w:val="32"/>
          <w:szCs w:val="32"/>
          <w:highlight w:val="none"/>
          <w:shd w:val="clear" w:color="auto" w:fill="FFFFFF"/>
          <w:lang w:val="zh-CN"/>
        </w:rPr>
        <w:t>）年度主要工作任务。</w:t>
      </w:r>
    </w:p>
    <w:p>
      <w:pPr>
        <w:keepNext w:val="0"/>
        <w:keepLines w:val="0"/>
        <w:pageBreakBefore w:val="0"/>
        <w:kinsoku/>
        <w:wordWrap/>
        <w:overflowPunct/>
        <w:topLinePunct w:val="0"/>
        <w:autoSpaceDE/>
        <w:autoSpaceDN/>
        <w:bidi w:val="0"/>
        <w:snapToGrid w:val="0"/>
        <w:spacing w:line="590" w:lineRule="exact"/>
        <w:ind w:firstLine="660" w:firstLineChars="200"/>
        <w:textAlignment w:val="auto"/>
        <w:rPr>
          <w:rFonts w:hint="default" w:ascii="Times New Roman" w:hAnsi="Times New Roman" w:eastAsia="方正仿宋_GBK" w:cs="Times New Roman"/>
          <w:color w:val="auto"/>
          <w:kern w:val="2"/>
          <w:sz w:val="33"/>
          <w:szCs w:val="33"/>
          <w:highlight w:val="none"/>
          <w:lang w:val="zh-CN" w:eastAsia="zh-CN" w:bidi="ar-SA"/>
        </w:rPr>
      </w:pPr>
      <w:r>
        <w:rPr>
          <w:rFonts w:hint="default" w:ascii="Times New Roman" w:hAnsi="Times New Roman" w:eastAsia="方正仿宋_GBK" w:cs="Times New Roman"/>
          <w:color w:val="auto"/>
          <w:kern w:val="2"/>
          <w:sz w:val="33"/>
          <w:szCs w:val="33"/>
          <w:highlight w:val="none"/>
          <w:lang w:val="zh-CN" w:eastAsia="zh-CN" w:bidi="ar-SA"/>
        </w:rPr>
        <w:t>统筹做好基层统战、参政党建设、经济统战、宗教工作、新阶人士统战、党外代表人士队伍建设等重点工作</w:t>
      </w:r>
      <w:r>
        <w:rPr>
          <w:rFonts w:hint="eastAsia" w:ascii="Times New Roman" w:hAnsi="Times New Roman" w:eastAsia="方正仿宋_GBK" w:cs="Times New Roman"/>
          <w:color w:val="auto"/>
          <w:kern w:val="2"/>
          <w:sz w:val="33"/>
          <w:szCs w:val="33"/>
          <w:highlight w:val="none"/>
          <w:lang w:val="zh-CN" w:eastAsia="zh-CN" w:bidi="ar-SA"/>
        </w:rPr>
        <w:t>。</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60"/>
        <w:jc w:val="left"/>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default" w:ascii="仿宋_GB2312" w:hAnsi="仿宋" w:eastAsia="仿宋_GB2312" w:cs="Times New Roman"/>
          <w:b/>
          <w:bCs/>
          <w:kern w:val="2"/>
          <w:sz w:val="32"/>
          <w:szCs w:val="32"/>
          <w:lang w:val="en-US" w:eastAsia="zh-CN" w:bidi="ar-SA"/>
        </w:rPr>
        <w:t>1.</w:t>
      </w:r>
      <w:r>
        <w:rPr>
          <w:rFonts w:hint="eastAsia" w:ascii="仿宋_GB2312" w:hAnsi="仿宋" w:eastAsia="仿宋_GB2312" w:cs="Times New Roman"/>
          <w:b/>
          <w:bCs/>
          <w:kern w:val="2"/>
          <w:sz w:val="32"/>
          <w:szCs w:val="32"/>
          <w:lang w:val="en-US" w:eastAsia="zh-CN" w:bidi="ar-SA"/>
        </w:rPr>
        <w:t>学习贯彻统一战线理论方针政策。</w:t>
      </w:r>
      <w:r>
        <w:rPr>
          <w:rFonts w:hint="eastAsia" w:ascii="Times New Roman" w:hAnsi="Times New Roman" w:eastAsia="方正仿宋_GBK" w:cs="Times New Roman"/>
          <w:color w:val="auto"/>
          <w:kern w:val="2"/>
          <w:sz w:val="33"/>
          <w:szCs w:val="33"/>
          <w:highlight w:val="none"/>
          <w:lang w:val="en-US" w:eastAsia="zh-CN" w:bidi="ar-SA"/>
        </w:rPr>
        <w:t>一是广泛开展学习培训活动。向党外人士通报中共二十大精神，在全区统一战线迅速掀起学习贯彻党的二十大精神热潮，切实把思想和行动统一到党的二十大精神上来。二是保证决策部署落到实处。组织召开区委民族工作会议暨全区宗教工作等会议，印发</w:t>
      </w:r>
      <w:r>
        <w:rPr>
          <w:rFonts w:hint="default"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广安区</w:t>
      </w:r>
      <w:r>
        <w:rPr>
          <w:rFonts w:hint="default" w:ascii="Times New Roman" w:hAnsi="Times New Roman" w:eastAsia="方正仿宋_GBK" w:cs="Times New Roman"/>
          <w:color w:val="auto"/>
          <w:kern w:val="2"/>
          <w:sz w:val="33"/>
          <w:szCs w:val="33"/>
          <w:highlight w:val="none"/>
          <w:lang w:val="en-US" w:eastAsia="zh-CN" w:bidi="ar-SA"/>
        </w:rPr>
        <w:t>2022年统</w:t>
      </w:r>
      <w:r>
        <w:rPr>
          <w:rFonts w:hint="eastAsia" w:ascii="Times New Roman" w:hAnsi="Times New Roman" w:eastAsia="方正仿宋_GBK" w:cs="Times New Roman"/>
          <w:color w:val="auto"/>
          <w:kern w:val="2"/>
          <w:sz w:val="33"/>
          <w:szCs w:val="33"/>
          <w:highlight w:val="none"/>
          <w:lang w:val="en-US" w:eastAsia="zh-CN" w:bidi="ar-SA"/>
        </w:rPr>
        <w:t>一</w:t>
      </w:r>
      <w:r>
        <w:rPr>
          <w:rFonts w:hint="default" w:ascii="Times New Roman" w:hAnsi="Times New Roman" w:eastAsia="方正仿宋_GBK" w:cs="Times New Roman"/>
          <w:color w:val="auto"/>
          <w:kern w:val="2"/>
          <w:sz w:val="33"/>
          <w:szCs w:val="33"/>
          <w:highlight w:val="none"/>
          <w:lang w:val="en-US" w:eastAsia="zh-CN" w:bidi="ar-SA"/>
        </w:rPr>
        <w:t>战</w:t>
      </w:r>
      <w:r>
        <w:rPr>
          <w:rFonts w:hint="eastAsia" w:ascii="Times New Roman" w:hAnsi="Times New Roman" w:eastAsia="方正仿宋_GBK" w:cs="Times New Roman"/>
          <w:color w:val="auto"/>
          <w:kern w:val="2"/>
          <w:sz w:val="33"/>
          <w:szCs w:val="33"/>
          <w:highlight w:val="none"/>
          <w:lang w:val="en-US" w:eastAsia="zh-CN" w:bidi="ar-SA"/>
        </w:rPr>
        <w:t>线</w:t>
      </w:r>
      <w:r>
        <w:rPr>
          <w:rFonts w:hint="default" w:ascii="Times New Roman" w:hAnsi="Times New Roman" w:eastAsia="方正仿宋_GBK" w:cs="Times New Roman"/>
          <w:color w:val="auto"/>
          <w:kern w:val="2"/>
          <w:sz w:val="33"/>
          <w:szCs w:val="33"/>
          <w:highlight w:val="none"/>
          <w:lang w:val="en-US" w:eastAsia="zh-CN" w:bidi="ar-SA"/>
        </w:rPr>
        <w:t>工作要点》</w:t>
      </w:r>
      <w:r>
        <w:rPr>
          <w:rFonts w:hint="eastAsia" w:ascii="Times New Roman" w:hAnsi="Times New Roman" w:eastAsia="方正仿宋_GBK" w:cs="Times New Roman"/>
          <w:color w:val="auto"/>
          <w:kern w:val="2"/>
          <w:sz w:val="33"/>
          <w:szCs w:val="33"/>
          <w:highlight w:val="none"/>
          <w:lang w:val="en-US" w:eastAsia="zh-CN" w:bidi="ar-SA"/>
        </w:rPr>
        <w:t>等文件，确保中央、省委和市委各项决策部署落到实处。</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firstLine="660"/>
        <w:jc w:val="both"/>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仿宋_GB2312" w:hAnsi="仿宋" w:eastAsia="仿宋_GB2312" w:cs="Times New Roman"/>
          <w:b/>
          <w:bCs/>
          <w:kern w:val="2"/>
          <w:sz w:val="32"/>
          <w:szCs w:val="32"/>
          <w:lang w:val="en-US" w:eastAsia="zh-CN" w:bidi="ar-SA"/>
        </w:rPr>
        <w:t>2</w:t>
      </w:r>
      <w:r>
        <w:rPr>
          <w:rFonts w:hint="default" w:ascii="仿宋_GB2312" w:hAnsi="仿宋" w:eastAsia="仿宋_GB2312" w:cs="Times New Roman"/>
          <w:b/>
          <w:bCs/>
          <w:kern w:val="2"/>
          <w:sz w:val="32"/>
          <w:szCs w:val="32"/>
          <w:lang w:val="en-US" w:eastAsia="zh-CN" w:bidi="ar-SA"/>
        </w:rPr>
        <w:t>.推动多党合作事业蓬勃发展。</w:t>
      </w:r>
      <w:r>
        <w:rPr>
          <w:rFonts w:hint="eastAsia" w:ascii="Times New Roman" w:hAnsi="Times New Roman" w:eastAsia="方正仿宋_GBK" w:cs="Times New Roman"/>
          <w:color w:val="auto"/>
          <w:kern w:val="2"/>
          <w:sz w:val="33"/>
          <w:szCs w:val="33"/>
          <w:highlight w:val="none"/>
          <w:lang w:val="en-US" w:eastAsia="zh-CN" w:bidi="ar-SA"/>
        </w:rPr>
        <w:t>一是支持民主党派参政议政。印发并落实《</w:t>
      </w:r>
      <w:r>
        <w:rPr>
          <w:rFonts w:hint="default" w:ascii="Times New Roman" w:hAnsi="Times New Roman" w:eastAsia="方正仿宋_GBK" w:cs="Times New Roman"/>
          <w:color w:val="auto"/>
          <w:kern w:val="2"/>
          <w:sz w:val="33"/>
          <w:szCs w:val="33"/>
          <w:highlight w:val="none"/>
          <w:lang w:val="en-US" w:eastAsia="zh-CN" w:bidi="ar-SA"/>
        </w:rPr>
        <w:t>202</w:t>
      </w:r>
      <w:r>
        <w:rPr>
          <w:rFonts w:hint="eastAsia" w:ascii="Times New Roman" w:hAnsi="Times New Roman" w:eastAsia="方正仿宋_GBK" w:cs="Times New Roman"/>
          <w:color w:val="auto"/>
          <w:kern w:val="2"/>
          <w:sz w:val="33"/>
          <w:szCs w:val="33"/>
          <w:highlight w:val="none"/>
          <w:lang w:val="en-US" w:eastAsia="zh-CN" w:bidi="ar-SA"/>
        </w:rPr>
        <w:t>2年度政党协商（会议协商）计划》，引导各民主党派深入调查研究，提出高质量意见建议，社情民意信息。印发《“我为广安产业发展献良策”活动实施方案》等方案，充分发挥各民主党派自身优势。二是加强民主党派成员思想政治教育，提升民主党派成员思想政治素质。</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Times New Roman" w:hAnsi="Times New Roman" w:eastAsia="方正仿宋_GBK" w:cs="Times New Roman"/>
          <w:color w:val="auto"/>
          <w:kern w:val="2"/>
          <w:sz w:val="33"/>
          <w:szCs w:val="33"/>
          <w:highlight w:val="none"/>
          <w:lang w:val="en-US" w:eastAsia="zh-CN" w:bidi="ar-SA"/>
        </w:rPr>
      </w:pPr>
      <w:r>
        <w:rPr>
          <w:rFonts w:hint="eastAsia" w:ascii="仿宋_GB2312" w:hAnsi="仿宋" w:eastAsia="仿宋_GB2312" w:cs="Times New Roman"/>
          <w:b/>
          <w:bCs/>
          <w:kern w:val="2"/>
          <w:sz w:val="32"/>
          <w:szCs w:val="32"/>
          <w:lang w:val="en-US" w:eastAsia="zh-CN" w:bidi="ar-SA"/>
        </w:rPr>
        <w:t>3</w:t>
      </w:r>
      <w:r>
        <w:rPr>
          <w:rFonts w:hint="default" w:ascii="仿宋_GB2312" w:hAnsi="仿宋" w:eastAsia="仿宋_GB2312" w:cs="Times New Roman"/>
          <w:b/>
          <w:bCs/>
          <w:kern w:val="2"/>
          <w:sz w:val="32"/>
          <w:szCs w:val="32"/>
          <w:lang w:val="en-US" w:eastAsia="zh-CN" w:bidi="ar-SA"/>
        </w:rPr>
        <w:t>.持续推进港澳侨台工作。</w:t>
      </w:r>
      <w:r>
        <w:rPr>
          <w:rFonts w:hint="eastAsia" w:ascii="Times New Roman" w:hAnsi="Times New Roman" w:eastAsia="方正仿宋_GBK" w:cs="Times New Roman"/>
          <w:color w:val="auto"/>
          <w:kern w:val="2"/>
          <w:sz w:val="33"/>
          <w:szCs w:val="33"/>
          <w:highlight w:val="none"/>
          <w:lang w:val="en-US" w:eastAsia="zh-CN" w:bidi="ar-SA"/>
        </w:rPr>
        <w:t>一是加强思想政治引领，组织侨台界人士学习党的二十大精神，凝聚广大侨胞共识。二是加强联系，开展中秋走访慰问等活动</w:t>
      </w:r>
      <w:r>
        <w:rPr>
          <w:rFonts w:hint="default" w:ascii="Times New Roman" w:hAnsi="Times New Roman" w:eastAsia="方正仿宋_GBK" w:cs="Times New Roman"/>
          <w:color w:val="auto"/>
          <w:kern w:val="2"/>
          <w:sz w:val="33"/>
          <w:szCs w:val="33"/>
          <w:highlight w:val="none"/>
          <w:lang w:val="en-US" w:eastAsia="zh-CN" w:bidi="ar-SA"/>
        </w:rPr>
        <w:t>。</w:t>
      </w:r>
      <w:r>
        <w:rPr>
          <w:rFonts w:hint="eastAsia" w:ascii="Times New Roman" w:hAnsi="Times New Roman" w:eastAsia="方正仿宋_GBK" w:cs="Times New Roman"/>
          <w:color w:val="auto"/>
          <w:kern w:val="2"/>
          <w:sz w:val="33"/>
          <w:szCs w:val="33"/>
          <w:highlight w:val="none"/>
          <w:lang w:val="en-US" w:eastAsia="zh-CN" w:bidi="ar-SA"/>
        </w:rPr>
        <w:t>三是做好服务，为“三侨生”办理高考加分手续，推动广安企业走出去。</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方正楷体_GBK" w:hAnsi="方正楷体_GBK" w:eastAsia="方正楷体_GBK" w:cs="方正楷体_GBK"/>
          <w:b/>
          <w:bCs/>
          <w:color w:val="auto"/>
          <w:kern w:val="0"/>
          <w:sz w:val="32"/>
          <w:szCs w:val="32"/>
          <w:highlight w:val="none"/>
          <w:shd w:val="clear" w:color="auto" w:fill="FFFFFF"/>
          <w:lang w:val="zh-CN"/>
        </w:rPr>
      </w:pPr>
      <w:r>
        <w:rPr>
          <w:rFonts w:hint="eastAsia" w:ascii="方正楷体_GBK" w:hAnsi="方正楷体_GBK" w:eastAsia="方正楷体_GBK" w:cs="方正楷体_GBK"/>
          <w:b/>
          <w:bCs/>
          <w:color w:val="auto"/>
          <w:kern w:val="0"/>
          <w:sz w:val="32"/>
          <w:szCs w:val="32"/>
          <w:highlight w:val="none"/>
          <w:shd w:val="clear" w:color="auto" w:fill="FFFFFF"/>
          <w:lang w:val="zh-CN"/>
        </w:rPr>
        <w:t>（四）部门整体支出绩效目标。</w:t>
      </w:r>
    </w:p>
    <w:p>
      <w:pPr>
        <w:pStyle w:val="17"/>
        <w:keepNext w:val="0"/>
        <w:keepLines w:val="0"/>
        <w:pageBreakBefore w:val="0"/>
        <w:kinsoku/>
        <w:wordWrap/>
        <w:overflowPunct/>
        <w:topLinePunct w:val="0"/>
        <w:autoSpaceDE/>
        <w:autoSpaceDN/>
        <w:bidi w:val="0"/>
        <w:spacing w:line="590" w:lineRule="exact"/>
        <w:ind w:firstLine="660" w:firstLineChars="200"/>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认真贯彻执行党的统一战线方针、政策、指示、决议，把深入学习宣传贯彻习近平新时代中国特色社会主义思想摆在首要位置，积极引导宗教与社会主义社会相适应，</w:t>
      </w:r>
      <w:r>
        <w:rPr>
          <w:rFonts w:hint="eastAsia" w:ascii="Times New Roman" w:hAnsi="Times New Roman" w:eastAsia="方正仿宋_GBK" w:cs="Times New Roman"/>
          <w:bCs w:val="0"/>
          <w:color w:val="auto"/>
          <w:kern w:val="2"/>
          <w:sz w:val="33"/>
          <w:szCs w:val="33"/>
          <w:highlight w:val="none"/>
          <w:lang w:val="en-US" w:eastAsia="zh-CN" w:bidi="ar-SA"/>
        </w:rPr>
        <w:t>支持各民主党派、无党派代表人士参政议政，</w:t>
      </w:r>
      <w:r>
        <w:rPr>
          <w:rFonts w:hint="eastAsia" w:ascii="Times New Roman" w:hAnsi="Times New Roman" w:eastAsia="方正仿宋_GBK" w:cs="Times New Roman"/>
          <w:bCs w:val="0"/>
          <w:color w:val="auto"/>
          <w:kern w:val="2"/>
          <w:sz w:val="33"/>
          <w:szCs w:val="33"/>
          <w:highlight w:val="none"/>
          <w:lang w:val="zh-CN" w:eastAsia="zh-CN" w:bidi="ar-SA"/>
        </w:rPr>
        <w:t>引导新的社会阶层人士、党外知识分子，对社会经济社会发展建言献策；加强侨胞、侨属、侨眷的交流联谊。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方正楷体_GBK" w:hAnsi="方正楷体_GBK" w:eastAsia="方正楷体_GBK" w:cs="方正楷体_GBK"/>
          <w:b/>
          <w:bCs/>
          <w:color w:val="auto"/>
          <w:kern w:val="0"/>
          <w:sz w:val="32"/>
          <w:szCs w:val="32"/>
          <w:highlight w:val="none"/>
          <w:shd w:val="clear" w:color="auto" w:fill="FFFFFF"/>
          <w:lang w:val="zh-CN"/>
        </w:rPr>
      </w:pPr>
      <w:r>
        <w:rPr>
          <w:rFonts w:hint="eastAsia" w:ascii="方正楷体_GBK" w:hAnsi="方正楷体_GBK" w:eastAsia="方正楷体_GBK" w:cs="方正楷体_GBK"/>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1.部门总体收入情况。</w:t>
      </w:r>
      <w:r>
        <w:rPr>
          <w:rFonts w:hint="eastAsia" w:ascii="Times New Roman" w:hAnsi="Times New Roman" w:eastAsia="方正仿宋_GBK" w:cs="Times New Roman"/>
          <w:bCs w:val="0"/>
          <w:color w:val="auto"/>
          <w:kern w:val="2"/>
          <w:sz w:val="33"/>
          <w:szCs w:val="33"/>
          <w:highlight w:val="none"/>
          <w:lang w:val="zh-CN" w:eastAsia="zh-CN" w:bidi="ar-SA"/>
        </w:rPr>
        <w:t>20</w:t>
      </w:r>
      <w:r>
        <w:rPr>
          <w:rFonts w:hint="eastAsia" w:ascii="Times New Roman" w:hAnsi="Times New Roman" w:eastAsia="方正仿宋_GBK" w:cs="Times New Roman"/>
          <w:bCs w:val="0"/>
          <w:color w:val="auto"/>
          <w:kern w:val="2"/>
          <w:sz w:val="33"/>
          <w:szCs w:val="33"/>
          <w:highlight w:val="none"/>
          <w:lang w:val="en-US" w:eastAsia="zh-CN" w:bidi="ar-SA"/>
        </w:rPr>
        <w:t>22</w:t>
      </w:r>
      <w:r>
        <w:rPr>
          <w:rFonts w:hint="eastAsia" w:ascii="Times New Roman" w:hAnsi="Times New Roman" w:eastAsia="方正仿宋_GBK" w:cs="Times New Roman"/>
          <w:bCs w:val="0"/>
          <w:color w:val="auto"/>
          <w:kern w:val="2"/>
          <w:sz w:val="33"/>
          <w:szCs w:val="33"/>
          <w:highlight w:val="none"/>
          <w:lang w:val="zh-CN" w:eastAsia="zh-CN" w:bidi="ar-SA"/>
        </w:rPr>
        <w:t>年本年收入合计</w:t>
      </w:r>
      <w:r>
        <w:rPr>
          <w:rFonts w:hint="eastAsia" w:ascii="Times New Roman" w:hAnsi="Times New Roman" w:eastAsia="方正仿宋_GBK" w:cs="Times New Roman"/>
          <w:bCs w:val="0"/>
          <w:color w:val="auto"/>
          <w:kern w:val="2"/>
          <w:sz w:val="33"/>
          <w:szCs w:val="33"/>
          <w:highlight w:val="none"/>
          <w:lang w:val="en-US" w:eastAsia="zh-CN" w:bidi="ar-SA"/>
        </w:rPr>
        <w:t>544.09</w:t>
      </w:r>
      <w:r>
        <w:rPr>
          <w:rFonts w:hint="eastAsia" w:ascii="Times New Roman" w:hAnsi="Times New Roman" w:eastAsia="方正仿宋_GBK" w:cs="Times New Roman"/>
          <w:bCs w:val="0"/>
          <w:color w:val="auto"/>
          <w:kern w:val="2"/>
          <w:sz w:val="33"/>
          <w:szCs w:val="33"/>
          <w:highlight w:val="none"/>
          <w:lang w:val="zh-CN" w:eastAsia="zh-CN" w:bidi="ar-SA"/>
        </w:rPr>
        <w:t>万元，其中：一般公共预算财政拨款收入</w:t>
      </w:r>
      <w:r>
        <w:rPr>
          <w:rFonts w:hint="eastAsia" w:ascii="Times New Roman" w:hAnsi="Times New Roman" w:eastAsia="方正仿宋_GBK" w:cs="Times New Roman"/>
          <w:bCs w:val="0"/>
          <w:color w:val="auto"/>
          <w:kern w:val="2"/>
          <w:sz w:val="33"/>
          <w:szCs w:val="33"/>
          <w:highlight w:val="none"/>
          <w:lang w:val="en-US" w:eastAsia="zh-CN" w:bidi="ar-SA"/>
        </w:rPr>
        <w:t>544.09</w:t>
      </w:r>
      <w:r>
        <w:rPr>
          <w:rFonts w:hint="eastAsia" w:ascii="Times New Roman" w:hAnsi="Times New Roman" w:eastAsia="方正仿宋_GBK" w:cs="Times New Roman"/>
          <w:bCs w:val="0"/>
          <w:color w:val="auto"/>
          <w:kern w:val="2"/>
          <w:sz w:val="33"/>
          <w:szCs w:val="33"/>
          <w:highlight w:val="none"/>
          <w:lang w:val="zh-CN" w:eastAsia="zh-CN" w:bidi="ar-SA"/>
        </w:rPr>
        <w:t>万元，占</w:t>
      </w:r>
      <w:r>
        <w:rPr>
          <w:rFonts w:hint="eastAsia" w:ascii="Times New Roman" w:hAnsi="Times New Roman" w:eastAsia="方正仿宋_GBK" w:cs="Times New Roman"/>
          <w:bCs w:val="0"/>
          <w:color w:val="auto"/>
          <w:kern w:val="2"/>
          <w:sz w:val="33"/>
          <w:szCs w:val="33"/>
          <w:highlight w:val="none"/>
          <w:lang w:val="en-US" w:eastAsia="zh-CN" w:bidi="ar-SA"/>
        </w:rPr>
        <w:t>100</w:t>
      </w:r>
      <w:r>
        <w:rPr>
          <w:rFonts w:hint="eastAsia" w:ascii="Times New Roman" w:hAnsi="Times New Roman" w:eastAsia="方正仿宋_GBK" w:cs="Times New Roman"/>
          <w:bCs w:val="0"/>
          <w:color w:val="auto"/>
          <w:kern w:val="2"/>
          <w:sz w:val="33"/>
          <w:szCs w:val="33"/>
          <w:highlight w:val="none"/>
          <w:lang w:val="zh-CN" w:eastAsia="zh-CN" w:bidi="ar-SA"/>
        </w:rPr>
        <w:t>%；无政府性基金预算财政拨款收入、国有资本经营预算财政拨款收入、上级补助收入、事业收入、经营收入、附属单位上缴收入、其他收入。</w:t>
      </w:r>
    </w:p>
    <w:p>
      <w:pPr>
        <w:keepNext w:val="0"/>
        <w:keepLines w:val="0"/>
        <w:pageBreakBefore w:val="0"/>
        <w:kinsoku/>
        <w:wordWrap/>
        <w:overflowPunct/>
        <w:topLinePunct w:val="0"/>
        <w:autoSpaceDE/>
        <w:autoSpaceDN/>
        <w:bidi w:val="0"/>
        <w:spacing w:line="590" w:lineRule="exact"/>
        <w:ind w:firstLine="660" w:firstLineChars="200"/>
        <w:textAlignment w:val="auto"/>
        <w:outlineLvl w:val="1"/>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2.部门总体支出情况。</w:t>
      </w:r>
      <w:r>
        <w:rPr>
          <w:rFonts w:hint="eastAsia" w:ascii="Times New Roman" w:hAnsi="Times New Roman" w:eastAsia="方正仿宋_GBK" w:cs="Times New Roman"/>
          <w:bCs w:val="0"/>
          <w:color w:val="auto"/>
          <w:kern w:val="2"/>
          <w:sz w:val="33"/>
          <w:szCs w:val="33"/>
          <w:highlight w:val="none"/>
          <w:lang w:val="zh-CN" w:eastAsia="zh-CN" w:bidi="ar-SA"/>
        </w:rPr>
        <w:t>20</w:t>
      </w:r>
      <w:r>
        <w:rPr>
          <w:rFonts w:hint="eastAsia" w:ascii="Times New Roman" w:hAnsi="Times New Roman" w:eastAsia="方正仿宋_GBK" w:cs="Times New Roman"/>
          <w:bCs w:val="0"/>
          <w:color w:val="auto"/>
          <w:kern w:val="2"/>
          <w:sz w:val="33"/>
          <w:szCs w:val="33"/>
          <w:highlight w:val="none"/>
          <w:lang w:val="en-US" w:eastAsia="zh-CN" w:bidi="ar-SA"/>
        </w:rPr>
        <w:t>22</w:t>
      </w:r>
      <w:r>
        <w:rPr>
          <w:rFonts w:hint="eastAsia" w:ascii="Times New Roman" w:hAnsi="Times New Roman" w:eastAsia="方正仿宋_GBK" w:cs="Times New Roman"/>
          <w:bCs w:val="0"/>
          <w:color w:val="auto"/>
          <w:kern w:val="2"/>
          <w:sz w:val="33"/>
          <w:szCs w:val="33"/>
          <w:highlight w:val="none"/>
          <w:lang w:val="zh-CN" w:eastAsia="zh-CN" w:bidi="ar-SA"/>
        </w:rPr>
        <w:t>年本年支出合计529.11万元，其中：基本支出279.57万元，占</w:t>
      </w:r>
      <w:r>
        <w:rPr>
          <w:rFonts w:hint="eastAsia" w:ascii="Times New Roman" w:hAnsi="Times New Roman" w:eastAsia="方正仿宋_GBK" w:cs="Times New Roman"/>
          <w:bCs w:val="0"/>
          <w:color w:val="auto"/>
          <w:kern w:val="2"/>
          <w:sz w:val="33"/>
          <w:szCs w:val="33"/>
          <w:highlight w:val="none"/>
          <w:lang w:val="en-US" w:eastAsia="zh-CN" w:bidi="ar-SA"/>
        </w:rPr>
        <w:t>53</w:t>
      </w:r>
      <w:r>
        <w:rPr>
          <w:rFonts w:hint="eastAsia" w:ascii="Times New Roman" w:hAnsi="Times New Roman" w:eastAsia="方正仿宋_GBK" w:cs="Times New Roman"/>
          <w:bCs w:val="0"/>
          <w:color w:val="auto"/>
          <w:kern w:val="2"/>
          <w:sz w:val="33"/>
          <w:szCs w:val="33"/>
          <w:highlight w:val="none"/>
          <w:lang w:val="zh-CN" w:eastAsia="zh-CN" w:bidi="ar-SA"/>
        </w:rPr>
        <w:t>%；项目支出249.55万元，占</w:t>
      </w:r>
      <w:r>
        <w:rPr>
          <w:rFonts w:hint="eastAsia" w:ascii="Times New Roman" w:hAnsi="Times New Roman" w:eastAsia="方正仿宋_GBK" w:cs="Times New Roman"/>
          <w:bCs w:val="0"/>
          <w:color w:val="auto"/>
          <w:kern w:val="2"/>
          <w:sz w:val="33"/>
          <w:szCs w:val="33"/>
          <w:highlight w:val="none"/>
          <w:lang w:val="en-US" w:eastAsia="zh-CN" w:bidi="ar-SA"/>
        </w:rPr>
        <w:t>47</w:t>
      </w:r>
      <w:r>
        <w:rPr>
          <w:rFonts w:hint="eastAsia" w:ascii="Times New Roman" w:hAnsi="Times New Roman" w:eastAsia="方正仿宋_GBK" w:cs="Times New Roman"/>
          <w:bCs w:val="0"/>
          <w:color w:val="auto"/>
          <w:kern w:val="2"/>
          <w:sz w:val="33"/>
          <w:szCs w:val="33"/>
          <w:highlight w:val="none"/>
          <w:lang w:val="zh-CN" w:eastAsia="zh-CN" w:bidi="ar-SA"/>
        </w:rPr>
        <w:t>%。无上缴上级支出、经营支出、对附属部门补助支出。</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3.部门总体结转结余情况。</w:t>
      </w:r>
      <w:r>
        <w:rPr>
          <w:rFonts w:hint="default" w:ascii="Times New Roman" w:hAnsi="Times New Roman" w:eastAsia="方正仿宋_GBK" w:cs="Times New Roman"/>
          <w:bCs w:val="0"/>
          <w:color w:val="auto"/>
          <w:kern w:val="2"/>
          <w:sz w:val="33"/>
          <w:szCs w:val="33"/>
          <w:highlight w:val="none"/>
          <w:lang w:val="zh-CN" w:eastAsia="zh-CN" w:bidi="ar-SA"/>
        </w:rPr>
        <w:t>截至</w:t>
      </w:r>
      <w:r>
        <w:rPr>
          <w:rFonts w:hint="default" w:ascii="Times New Roman" w:hAnsi="Times New Roman" w:eastAsia="方正仿宋_GBK" w:cs="Times New Roman"/>
          <w:bCs w:val="0"/>
          <w:color w:val="auto"/>
          <w:kern w:val="2"/>
          <w:sz w:val="33"/>
          <w:szCs w:val="33"/>
          <w:highlight w:val="none"/>
          <w:lang w:val="en-US" w:eastAsia="zh-CN" w:bidi="ar-SA"/>
        </w:rPr>
        <w:t>2022年12月，</w:t>
      </w:r>
      <w:r>
        <w:rPr>
          <w:rFonts w:hint="eastAsia" w:ascii="Times New Roman" w:hAnsi="Times New Roman" w:eastAsia="方正仿宋_GBK" w:cs="Times New Roman"/>
          <w:bCs w:val="0"/>
          <w:color w:val="auto"/>
          <w:kern w:val="2"/>
          <w:sz w:val="33"/>
          <w:szCs w:val="33"/>
          <w:highlight w:val="none"/>
          <w:lang w:val="zh-CN" w:eastAsia="zh-CN" w:bidi="ar-SA"/>
        </w:rPr>
        <w:t>区委统战部部门总体</w:t>
      </w:r>
      <w:r>
        <w:rPr>
          <w:rFonts w:hint="default" w:ascii="Times New Roman" w:hAnsi="Times New Roman" w:eastAsia="方正仿宋_GBK" w:cs="Times New Roman"/>
          <w:bCs w:val="0"/>
          <w:color w:val="auto"/>
          <w:kern w:val="2"/>
          <w:sz w:val="33"/>
          <w:szCs w:val="33"/>
          <w:highlight w:val="none"/>
          <w:lang w:val="zh-CN" w:eastAsia="zh-CN" w:bidi="ar-SA"/>
        </w:rPr>
        <w:t>结转结余为</w:t>
      </w:r>
      <w:r>
        <w:rPr>
          <w:rFonts w:hint="default" w:ascii="Times New Roman" w:hAnsi="Times New Roman" w:eastAsia="方正仿宋_GBK" w:cs="Times New Roman"/>
          <w:bCs w:val="0"/>
          <w:color w:val="auto"/>
          <w:kern w:val="2"/>
          <w:sz w:val="33"/>
          <w:szCs w:val="33"/>
          <w:highlight w:val="none"/>
          <w:lang w:val="en-US" w:eastAsia="zh-CN" w:bidi="ar-SA"/>
        </w:rPr>
        <w:t>0万元。</w:t>
      </w:r>
    </w:p>
    <w:p>
      <w:pPr>
        <w:keepNext w:val="0"/>
        <w:keepLines w:val="0"/>
        <w:pageBreakBefore w:val="0"/>
        <w:kinsoku/>
        <w:wordWrap/>
        <w:overflowPunct/>
        <w:topLinePunct w:val="0"/>
        <w:autoSpaceDE/>
        <w:autoSpaceDN/>
        <w:bidi w:val="0"/>
        <w:snapToGrid w:val="0"/>
        <w:spacing w:line="590" w:lineRule="exact"/>
        <w:ind w:firstLine="643" w:firstLineChars="200"/>
        <w:textAlignment w:val="auto"/>
        <w:rPr>
          <w:rFonts w:hint="eastAsia" w:ascii="方正楷体_GBK" w:hAnsi="方正楷体_GBK" w:eastAsia="方正楷体_GBK" w:cs="方正楷体_GBK"/>
          <w:b/>
          <w:bCs/>
          <w:color w:val="auto"/>
          <w:kern w:val="0"/>
          <w:sz w:val="32"/>
          <w:szCs w:val="32"/>
          <w:highlight w:val="none"/>
          <w:shd w:val="clear" w:color="auto" w:fill="FFFFFF"/>
          <w:lang w:val="zh-CN"/>
        </w:rPr>
      </w:pPr>
      <w:r>
        <w:rPr>
          <w:rFonts w:hint="eastAsia" w:ascii="方正楷体_GBK" w:hAnsi="方正楷体_GBK" w:eastAsia="方正楷体_GBK" w:cs="方正楷体_GBK"/>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1.部门财政拨款收入情况。一般公共预算财政拨款收入544.09万元，占100%。</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2.部门财政拨款支出情况。2022年一般公共预算财政拨款支出529.11万元，主要用于以下方面</w:t>
      </w:r>
      <w:r>
        <w:rPr>
          <w:rFonts w:hint="eastAsia" w:eastAsia="方正仿宋_GBK" w:cs="Times New Roman"/>
          <w:bCs w:val="0"/>
          <w:color w:val="auto"/>
          <w:kern w:val="2"/>
          <w:sz w:val="33"/>
          <w:szCs w:val="33"/>
          <w:highlight w:val="none"/>
          <w:lang w:val="en-US" w:eastAsia="zh-CN" w:bidi="ar-SA"/>
        </w:rPr>
        <w:t>：</w:t>
      </w:r>
      <w:r>
        <w:rPr>
          <w:rFonts w:hint="eastAsia" w:ascii="Times New Roman" w:hAnsi="Times New Roman" w:eastAsia="方正仿宋_GBK" w:cs="Times New Roman"/>
          <w:bCs w:val="0"/>
          <w:color w:val="auto"/>
          <w:kern w:val="2"/>
          <w:sz w:val="33"/>
          <w:szCs w:val="33"/>
          <w:highlight w:val="none"/>
          <w:lang w:val="en-US" w:eastAsia="zh-CN" w:bidi="ar-SA"/>
        </w:rPr>
        <w:t>一般公共服务支出356.24万元，占67.33%；农林水支出106.69万元，占20.16%；卫生健康支出29.97万元，占5.66%；社会保障和就业支出23.72万元，占4.48%；住房保障支出12.5万元，占2.36%。</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3.部门财政拨款结转结余情况。</w:t>
      </w:r>
      <w:r>
        <w:rPr>
          <w:rFonts w:hint="default" w:ascii="Times New Roman" w:hAnsi="Times New Roman" w:eastAsia="方正仿宋_GBK" w:cs="Times New Roman"/>
          <w:bCs w:val="0"/>
          <w:color w:val="auto"/>
          <w:kern w:val="2"/>
          <w:sz w:val="33"/>
          <w:szCs w:val="33"/>
          <w:highlight w:val="none"/>
          <w:lang w:val="zh-CN" w:eastAsia="zh-CN" w:bidi="ar-SA"/>
        </w:rPr>
        <w:t>截至</w:t>
      </w:r>
      <w:r>
        <w:rPr>
          <w:rFonts w:hint="default" w:ascii="Times New Roman" w:hAnsi="Times New Roman" w:eastAsia="方正仿宋_GBK" w:cs="Times New Roman"/>
          <w:bCs w:val="0"/>
          <w:color w:val="auto"/>
          <w:kern w:val="2"/>
          <w:sz w:val="33"/>
          <w:szCs w:val="33"/>
          <w:highlight w:val="none"/>
          <w:lang w:val="en-US" w:eastAsia="zh-CN" w:bidi="ar-SA"/>
        </w:rPr>
        <w:t>2022年12月，</w:t>
      </w:r>
      <w:r>
        <w:rPr>
          <w:rFonts w:hint="eastAsia" w:ascii="Times New Roman" w:hAnsi="Times New Roman" w:eastAsia="方正仿宋_GBK" w:cs="Times New Roman"/>
          <w:bCs w:val="0"/>
          <w:color w:val="auto"/>
          <w:kern w:val="2"/>
          <w:sz w:val="33"/>
          <w:szCs w:val="33"/>
          <w:highlight w:val="none"/>
          <w:lang w:val="zh-CN" w:eastAsia="zh-CN" w:bidi="ar-SA"/>
        </w:rPr>
        <w:t>区委统战部</w:t>
      </w:r>
      <w:r>
        <w:rPr>
          <w:rFonts w:hint="default" w:ascii="Times New Roman" w:hAnsi="Times New Roman" w:eastAsia="方正仿宋_GBK" w:cs="Times New Roman"/>
          <w:bCs w:val="0"/>
          <w:color w:val="auto"/>
          <w:kern w:val="2"/>
          <w:sz w:val="33"/>
          <w:szCs w:val="33"/>
          <w:highlight w:val="none"/>
          <w:lang w:val="zh-CN" w:eastAsia="zh-CN" w:bidi="ar-SA"/>
        </w:rPr>
        <w:t>财政拨款结转结余为</w:t>
      </w:r>
      <w:r>
        <w:rPr>
          <w:rFonts w:hint="default" w:ascii="Times New Roman" w:hAnsi="Times New Roman" w:eastAsia="方正仿宋_GBK" w:cs="Times New Roman"/>
          <w:bCs w:val="0"/>
          <w:color w:val="auto"/>
          <w:kern w:val="2"/>
          <w:sz w:val="33"/>
          <w:szCs w:val="33"/>
          <w:highlight w:val="none"/>
          <w:lang w:val="en-US" w:eastAsia="zh-CN" w:bidi="ar-SA"/>
        </w:rPr>
        <w:t>0万元。</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根据预算编制要求，2022年共涉及人员类项目</w:t>
      </w:r>
      <w:r>
        <w:rPr>
          <w:rFonts w:hint="eastAsia" w:ascii="Times New Roman" w:hAnsi="Times New Roman" w:eastAsia="方正仿宋_GBK" w:cs="Times New Roman"/>
          <w:bCs w:val="0"/>
          <w:color w:val="auto"/>
          <w:kern w:val="2"/>
          <w:sz w:val="33"/>
          <w:szCs w:val="33"/>
          <w:highlight w:val="none"/>
          <w:lang w:val="en-US" w:eastAsia="zh-CN" w:bidi="ar-SA"/>
        </w:rPr>
        <w:t>10</w:t>
      </w:r>
      <w:r>
        <w:rPr>
          <w:rFonts w:hint="eastAsia" w:ascii="Times New Roman" w:hAnsi="Times New Roman" w:eastAsia="方正仿宋_GBK" w:cs="Times New Roman"/>
          <w:bCs w:val="0"/>
          <w:color w:val="auto"/>
          <w:kern w:val="2"/>
          <w:sz w:val="33"/>
          <w:szCs w:val="33"/>
          <w:highlight w:val="none"/>
          <w:lang w:val="zh-CN" w:eastAsia="zh-CN" w:bidi="ar-SA"/>
        </w:rPr>
        <w:t>个，主要包括工资性支出、基本养老保险缴费、医疗保险、其他社会保险缴费、医疗补助、年度绩效目标奖、其他对个人和家庭的补助、离退休人员生活补助等。人员类项目全年预算数</w:t>
      </w:r>
      <w:r>
        <w:rPr>
          <w:rFonts w:hint="eastAsia" w:ascii="Times New Roman" w:hAnsi="Times New Roman" w:eastAsia="方正仿宋_GBK" w:cs="Times New Roman"/>
          <w:bCs w:val="0"/>
          <w:color w:val="auto"/>
          <w:kern w:val="2"/>
          <w:sz w:val="33"/>
          <w:szCs w:val="33"/>
          <w:highlight w:val="none"/>
          <w:lang w:val="en-US" w:eastAsia="zh-CN" w:bidi="ar-SA"/>
        </w:rPr>
        <w:t>257.71</w:t>
      </w:r>
      <w:r>
        <w:rPr>
          <w:rFonts w:hint="eastAsia" w:ascii="Times New Roman" w:hAnsi="Times New Roman" w:eastAsia="方正仿宋_GBK" w:cs="Times New Roman"/>
          <w:bCs w:val="0"/>
          <w:color w:val="auto"/>
          <w:kern w:val="2"/>
          <w:sz w:val="33"/>
          <w:szCs w:val="33"/>
          <w:highlight w:val="none"/>
          <w:lang w:val="zh-CN" w:eastAsia="zh-CN" w:bidi="ar-SA"/>
        </w:rPr>
        <w:t>万元，根据情况所定绩效目标均到达并实现，支出控制情况良好，均不存在超预算支出的情况，执行进度达到序时进度要求，资金结余率较低，预算编制比较科学准确，预算完成效果较好，不存在人员类项目预算管理违纪违规问题。</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根据预算编制要求，2022年共涉及运转类项目9个，主要包括定额公用经费、工会福利费、公务用车运行维护费、其他交通费等。运转类项目全年预算数</w:t>
      </w:r>
      <w:r>
        <w:rPr>
          <w:rFonts w:hint="eastAsia" w:ascii="Times New Roman" w:hAnsi="Times New Roman" w:eastAsia="方正仿宋_GBK" w:cs="Times New Roman"/>
          <w:bCs w:val="0"/>
          <w:color w:val="auto"/>
          <w:kern w:val="2"/>
          <w:sz w:val="33"/>
          <w:szCs w:val="33"/>
          <w:highlight w:val="none"/>
          <w:lang w:val="en-US" w:eastAsia="zh-CN" w:bidi="ar-SA"/>
        </w:rPr>
        <w:t>26.31</w:t>
      </w:r>
      <w:r>
        <w:rPr>
          <w:rFonts w:hint="eastAsia" w:ascii="Times New Roman" w:hAnsi="Times New Roman" w:eastAsia="方正仿宋_GBK" w:cs="Times New Roman"/>
          <w:bCs w:val="0"/>
          <w:color w:val="auto"/>
          <w:kern w:val="2"/>
          <w:sz w:val="33"/>
          <w:szCs w:val="33"/>
          <w:highlight w:val="none"/>
          <w:lang w:val="zh-CN" w:eastAsia="zh-CN" w:bidi="ar-SA"/>
        </w:rPr>
        <w:t>万元，根据情况所定绩效目标均到达并实现，支出控制情况良好，均不存在超预算支出的情况，执行进度达到序时进度要求，资金结余率较低，预算编制比较科学准确，预算完成效果较好，不存在运转类项目预算管理违纪违规问题。</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根据预算编制要求，2022年共涉及运转类项目</w:t>
      </w:r>
      <w:r>
        <w:rPr>
          <w:rFonts w:hint="eastAsia" w:ascii="Times New Roman" w:hAnsi="Times New Roman" w:eastAsia="方正仿宋_GBK" w:cs="Times New Roman"/>
          <w:bCs w:val="0"/>
          <w:color w:val="auto"/>
          <w:kern w:val="2"/>
          <w:sz w:val="33"/>
          <w:szCs w:val="33"/>
          <w:highlight w:val="none"/>
          <w:lang w:val="en-US" w:eastAsia="zh-CN" w:bidi="ar-SA"/>
        </w:rPr>
        <w:t>14</w:t>
      </w:r>
      <w:r>
        <w:rPr>
          <w:rFonts w:hint="eastAsia" w:ascii="Times New Roman" w:hAnsi="Times New Roman" w:eastAsia="方正仿宋_GBK" w:cs="Times New Roman"/>
          <w:bCs w:val="0"/>
          <w:color w:val="auto"/>
          <w:kern w:val="2"/>
          <w:sz w:val="33"/>
          <w:szCs w:val="33"/>
          <w:highlight w:val="none"/>
          <w:lang w:val="zh-CN" w:eastAsia="zh-CN" w:bidi="ar-SA"/>
        </w:rPr>
        <w:t>个，主要包括少数民族发展任务资金、统战特别经费、新的社会阶层人士联谊会工作经费、无党派知识分子联谊会工作经费、民族宗教工作经费等。特定目标类项目全年预算数</w:t>
      </w:r>
      <w:r>
        <w:rPr>
          <w:rFonts w:hint="eastAsia" w:ascii="Times New Roman" w:hAnsi="Times New Roman" w:eastAsia="方正仿宋_GBK" w:cs="Times New Roman"/>
          <w:bCs w:val="0"/>
          <w:color w:val="auto"/>
          <w:kern w:val="2"/>
          <w:sz w:val="33"/>
          <w:szCs w:val="33"/>
          <w:highlight w:val="none"/>
          <w:lang w:val="en-US" w:eastAsia="zh-CN" w:bidi="ar-SA"/>
        </w:rPr>
        <w:t>225.52</w:t>
      </w:r>
      <w:r>
        <w:rPr>
          <w:rFonts w:hint="eastAsia" w:ascii="Times New Roman" w:hAnsi="Times New Roman" w:eastAsia="方正仿宋_GBK" w:cs="Times New Roman"/>
          <w:bCs w:val="0"/>
          <w:color w:val="auto"/>
          <w:kern w:val="2"/>
          <w:sz w:val="33"/>
          <w:szCs w:val="33"/>
          <w:highlight w:val="none"/>
          <w:lang w:val="zh-CN" w:eastAsia="zh-CN" w:bidi="ar-SA"/>
        </w:rPr>
        <w:t>万元，根据情况所定绩效目标均到达并实现，支出控制情况良好，均不存在超预算支出的情况，执行进度达到序时进度要求，资金结余率较低，预算编制比较科学准确，预算完成效果较好，不存在运转类项目预算管理违纪违规问题。</w:t>
      </w:r>
    </w:p>
    <w:p>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Times New Roman" w:hAnsi="Times New Roman" w:eastAsia="方正仿宋_GBK" w:cs="Times New Roman"/>
          <w:bCs w:val="0"/>
          <w:color w:val="auto"/>
          <w:kern w:val="2"/>
          <w:sz w:val="33"/>
          <w:szCs w:val="33"/>
          <w:highlight w:val="none"/>
          <w:lang w:val="zh-CN" w:eastAsia="zh-CN" w:bidi="ar-SA"/>
        </w:rPr>
        <w:t>按照《中华人民共和国预算法》及有关法律法规，积极组织各项非税收入，采取定员定额方式编制部门预算；按照账表相符、账实相符的原则，据实编制部门决算</w:t>
      </w:r>
      <w:r>
        <w:rPr>
          <w:rFonts w:hint="eastAsia" w:eastAsia="方正仿宋_GBK" w:cs="Times New Roman"/>
          <w:bCs w:val="0"/>
          <w:color w:val="auto"/>
          <w:kern w:val="2"/>
          <w:sz w:val="33"/>
          <w:szCs w:val="33"/>
          <w:highlight w:val="none"/>
          <w:lang w:val="zh-CN" w:eastAsia="zh-CN" w:bidi="ar-SA"/>
        </w:rPr>
        <w:t>；</w:t>
      </w:r>
      <w:r>
        <w:rPr>
          <w:rFonts w:hint="eastAsia" w:ascii="Times New Roman" w:hAnsi="Times New Roman" w:eastAsia="方正仿宋_GBK" w:cs="Times New Roman"/>
          <w:bCs w:val="0"/>
          <w:color w:val="auto"/>
          <w:kern w:val="2"/>
          <w:sz w:val="33"/>
          <w:szCs w:val="33"/>
          <w:highlight w:val="none"/>
          <w:lang w:val="zh-CN" w:eastAsia="zh-CN" w:bidi="ar-SA"/>
        </w:rPr>
        <w:t>对部门整体支出和项目支出全部纳入绩效管理，年末结余纳入下年预算统筹安排使用。</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严格执行“三公”、差旅费等经费管理规定，杜绝铺张浪费。</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财务管理情况：202</w:t>
      </w:r>
      <w:r>
        <w:rPr>
          <w:rFonts w:hint="eastAsia" w:ascii="Times New Roman" w:hAnsi="Times New Roman" w:eastAsia="方正仿宋_GBK" w:cs="Times New Roman"/>
          <w:bCs w:val="0"/>
          <w:color w:val="auto"/>
          <w:kern w:val="2"/>
          <w:sz w:val="33"/>
          <w:szCs w:val="33"/>
          <w:highlight w:val="none"/>
          <w:lang w:val="en-US" w:eastAsia="zh-CN" w:bidi="ar-SA"/>
        </w:rPr>
        <w:t>2</w:t>
      </w:r>
      <w:r>
        <w:rPr>
          <w:rFonts w:hint="eastAsia" w:ascii="Times New Roman" w:hAnsi="Times New Roman" w:eastAsia="方正仿宋_GBK" w:cs="Times New Roman"/>
          <w:bCs w:val="0"/>
          <w:color w:val="auto"/>
          <w:kern w:val="2"/>
          <w:sz w:val="33"/>
          <w:szCs w:val="33"/>
          <w:highlight w:val="none"/>
          <w:lang w:val="zh-CN" w:eastAsia="zh-CN" w:bidi="ar-SA"/>
        </w:rPr>
        <w:t>年区委统战部进一步优化财务管理、公车管理、差旅费报销等流程，严格执行政府采购制度规定，优化内控制度，确保财政资金使用规范、安全、高效。</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绩效管理工作开展情况</w:t>
      </w:r>
      <w:r>
        <w:rPr>
          <w:rFonts w:hint="eastAsia" w:eastAsia="方正仿宋_GBK" w:cs="Times New Roman"/>
          <w:bCs w:val="0"/>
          <w:color w:val="auto"/>
          <w:kern w:val="2"/>
          <w:sz w:val="33"/>
          <w:szCs w:val="33"/>
          <w:highlight w:val="none"/>
          <w:lang w:val="zh-CN" w:eastAsia="zh-CN" w:bidi="ar-SA"/>
        </w:rPr>
        <w:t>：</w:t>
      </w:r>
      <w:r>
        <w:rPr>
          <w:rFonts w:hint="eastAsia" w:ascii="Times New Roman" w:hAnsi="Times New Roman" w:eastAsia="方正仿宋_GBK" w:cs="Times New Roman"/>
          <w:bCs w:val="0"/>
          <w:color w:val="auto"/>
          <w:kern w:val="2"/>
          <w:sz w:val="33"/>
          <w:szCs w:val="33"/>
          <w:highlight w:val="none"/>
          <w:lang w:val="zh-CN" w:eastAsia="zh-CN" w:bidi="ar-SA"/>
        </w:rPr>
        <w:t>区委统战部按照“广安区202</w:t>
      </w:r>
      <w:r>
        <w:rPr>
          <w:rFonts w:hint="eastAsia" w:ascii="Times New Roman" w:hAnsi="Times New Roman" w:eastAsia="方正仿宋_GBK" w:cs="Times New Roman"/>
          <w:bCs w:val="0"/>
          <w:color w:val="auto"/>
          <w:kern w:val="2"/>
          <w:sz w:val="33"/>
          <w:szCs w:val="33"/>
          <w:highlight w:val="none"/>
          <w:lang w:val="en-US" w:eastAsia="zh-CN" w:bidi="ar-SA"/>
        </w:rPr>
        <w:t>2</w:t>
      </w:r>
      <w:r>
        <w:rPr>
          <w:rFonts w:hint="eastAsia" w:ascii="Times New Roman" w:hAnsi="Times New Roman" w:eastAsia="方正仿宋_GBK" w:cs="Times New Roman"/>
          <w:bCs w:val="0"/>
          <w:color w:val="auto"/>
          <w:kern w:val="2"/>
          <w:sz w:val="33"/>
          <w:szCs w:val="33"/>
          <w:highlight w:val="none"/>
          <w:lang w:val="zh-CN" w:eastAsia="zh-CN" w:bidi="ar-SA"/>
        </w:rPr>
        <w:t>年部门整体支出绩效评价指标体系”内容，逐条逐项开展绩效评价，做到全覆盖，无遗漏。</w:t>
      </w:r>
    </w:p>
    <w:p>
      <w:pPr>
        <w:keepNext w:val="0"/>
        <w:keepLines w:val="0"/>
        <w:pageBreakBefore w:val="0"/>
        <w:widowControl/>
        <w:kinsoku/>
        <w:wordWrap/>
        <w:overflowPunct/>
        <w:topLinePunct w:val="0"/>
        <w:autoSpaceDE/>
        <w:autoSpaceDN/>
        <w:bidi w:val="0"/>
        <w:adjustRightInd w:val="0"/>
        <w:snapToGrid w:val="0"/>
        <w:spacing w:line="59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包括内部应用、自评公开、问题整改和应用反馈等情况</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1．事前绩效评估结果应用。根据事前绩效评估结果，对2022年整体绩效及项目绩效目标及金额进行优化，以确保预算执行率及资金使用绩效。</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2．绩效目标管理结果应用。根据接待具体目标申报使用项目经费，不闲置财政资金，发挥财政资金使用效益。</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3．绩效运行监控结果应用。根据整体绩效监控情况，及时督促项目使用。</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4．事后绩效评价结果应用。</w:t>
      </w:r>
      <w:r>
        <w:rPr>
          <w:rFonts w:hint="eastAsia" w:eastAsia="方正仿宋_GBK" w:cs="Times New Roman"/>
          <w:bCs w:val="0"/>
          <w:color w:val="auto"/>
          <w:kern w:val="2"/>
          <w:sz w:val="33"/>
          <w:szCs w:val="33"/>
          <w:highlight w:val="none"/>
          <w:lang w:val="zh-CN" w:eastAsia="zh-CN" w:bidi="ar-SA"/>
        </w:rPr>
        <w:t>区</w:t>
      </w:r>
      <w:r>
        <w:rPr>
          <w:rFonts w:hint="eastAsia" w:ascii="Times New Roman" w:hAnsi="Times New Roman" w:eastAsia="方正仿宋_GBK" w:cs="Times New Roman"/>
          <w:bCs w:val="0"/>
          <w:color w:val="auto"/>
          <w:kern w:val="2"/>
          <w:sz w:val="33"/>
          <w:szCs w:val="33"/>
          <w:highlight w:val="none"/>
          <w:lang w:val="zh-CN" w:eastAsia="zh-CN" w:bidi="ar-SA"/>
        </w:rPr>
        <w:t>委统战部根据2022年项目绩效评价结果，优化2023年底项目绩效申报。</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5．绩效信息公开。按规定将绩效目标随部门年初预算同步公开；按规定将绩效目标完成情况、部门整体支出绩效自评报告等内容随部门年终决算同步公开。</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部门自评工作开展和评价开展及时、有效，社会反响较好。严格落实《</w:t>
      </w:r>
      <w:r>
        <w:rPr>
          <w:rFonts w:hint="eastAsia" w:ascii="Times New Roman" w:hAnsi="Times New Roman" w:eastAsia="方正仿宋_GBK" w:cs="Times New Roman"/>
          <w:bCs w:val="0"/>
          <w:color w:val="auto"/>
          <w:kern w:val="2"/>
          <w:sz w:val="33"/>
          <w:szCs w:val="33"/>
          <w:highlight w:val="none"/>
          <w:lang w:val="en-US" w:eastAsia="zh-CN" w:bidi="ar-SA"/>
        </w:rPr>
        <w:t>中华人民共和国</w:t>
      </w:r>
      <w:r>
        <w:rPr>
          <w:rFonts w:hint="eastAsia" w:ascii="Times New Roman" w:hAnsi="Times New Roman" w:eastAsia="方正仿宋_GBK" w:cs="Times New Roman"/>
          <w:bCs w:val="0"/>
          <w:color w:val="auto"/>
          <w:kern w:val="2"/>
          <w:sz w:val="33"/>
          <w:szCs w:val="33"/>
          <w:highlight w:val="none"/>
          <w:lang w:val="zh-CN" w:eastAsia="zh-CN" w:bidi="ar-SA"/>
        </w:rPr>
        <w:t>预算法》及省、市、区绩效管理工作的有关规定，进一步规范财政资金的管理，强化财政资金支出绩效管理理念，提升部门责任意识、提高财政资金使用效益。</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rPr>
          <w:rFonts w:hint="default"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参照评价标准对本部门自评进行抽查，抽查差异在5%以内，自评质量较高。</w:t>
      </w:r>
    </w:p>
    <w:p>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Times New Roman" w:hAnsi="Times New Roman" w:eastAsia="方正仿宋_GBK" w:cs="Times New Roman"/>
          <w:bCs w:val="0"/>
          <w:color w:val="auto"/>
          <w:kern w:val="2"/>
          <w:sz w:val="33"/>
          <w:szCs w:val="33"/>
          <w:highlight w:val="none"/>
          <w:lang w:val="zh-CN" w:eastAsia="zh-CN" w:bidi="ar-SA"/>
        </w:rPr>
        <w:t>通过项目的实施，</w:t>
      </w:r>
      <w:r>
        <w:rPr>
          <w:rFonts w:hint="eastAsia" w:ascii="Times New Roman" w:hAnsi="Times New Roman" w:eastAsia="方正仿宋_GBK" w:cs="Times New Roman"/>
          <w:bCs w:val="0"/>
          <w:color w:val="auto"/>
          <w:kern w:val="2"/>
          <w:sz w:val="33"/>
          <w:szCs w:val="33"/>
          <w:highlight w:val="none"/>
          <w:lang w:val="en-US" w:eastAsia="zh-CN" w:bidi="ar-SA"/>
        </w:rPr>
        <w:t>使</w:t>
      </w:r>
      <w:r>
        <w:rPr>
          <w:rFonts w:hint="eastAsia" w:ascii="Times New Roman" w:hAnsi="Times New Roman" w:eastAsia="方正仿宋_GBK" w:cs="Times New Roman"/>
          <w:bCs w:val="0"/>
          <w:color w:val="auto"/>
          <w:kern w:val="2"/>
          <w:sz w:val="33"/>
          <w:szCs w:val="33"/>
          <w:highlight w:val="none"/>
          <w:lang w:val="zh-CN" w:eastAsia="zh-CN" w:bidi="ar-SA"/>
        </w:rPr>
        <w:t>广安区人民和相关部门对民族宗教工作满意度达到较高水平。</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各项资金预算准确性有待进一步提高</w:t>
      </w:r>
      <w:r>
        <w:rPr>
          <w:rFonts w:hint="eastAsia" w:ascii="Times New Roman" w:hAnsi="Times New Roman" w:eastAsia="方正仿宋_GBK" w:cs="Times New Roman"/>
          <w:bCs w:val="0"/>
          <w:color w:val="auto"/>
          <w:kern w:val="2"/>
          <w:sz w:val="33"/>
          <w:szCs w:val="33"/>
          <w:highlight w:val="none"/>
          <w:lang w:val="zh-CN" w:eastAsia="zh-CN" w:bidi="ar-SA"/>
        </w:rPr>
        <w:t>。</w:t>
      </w:r>
      <w:r>
        <w:rPr>
          <w:rFonts w:hint="eastAsia" w:ascii="Times New Roman" w:hAnsi="Times New Roman" w:eastAsia="方正仿宋_GBK" w:cs="Times New Roman"/>
          <w:bCs w:val="0"/>
          <w:color w:val="auto"/>
          <w:kern w:val="2"/>
          <w:sz w:val="33"/>
          <w:szCs w:val="33"/>
          <w:highlight w:val="none"/>
          <w:lang w:val="zh-CN" w:eastAsia="zh-CN" w:bidi="ar-SA"/>
        </w:rPr>
        <w:tab/>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w:t>
      </w:r>
      <w:r>
        <w:rPr>
          <w:rFonts w:hint="eastAsia" w:ascii="楷体_GB2312" w:hAnsi="楷体_GB2312" w:eastAsia="楷体_GB2312" w:cs="楷体_GB2312"/>
          <w:b/>
          <w:bCs/>
          <w:color w:val="auto"/>
          <w:kern w:val="0"/>
          <w:sz w:val="32"/>
          <w:szCs w:val="32"/>
          <w:highlight w:val="none"/>
          <w:shd w:val="clear" w:color="auto" w:fill="FFFFFF"/>
          <w:lang w:val="zh-CN"/>
        </w:rPr>
        <w:t>改进建议</w:t>
      </w:r>
      <w:r>
        <w:rPr>
          <w:rFonts w:hint="eastAsia" w:ascii="楷体_GB2312" w:hAnsi="宋体" w:eastAsia="楷体_GB2312"/>
          <w:b/>
          <w:sz w:val="32"/>
          <w:szCs w:val="32"/>
          <w:lang w:val="zh-CN"/>
        </w:rPr>
        <w:t>。</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bCs w:val="0"/>
          <w:color w:val="auto"/>
          <w:kern w:val="2"/>
          <w:sz w:val="33"/>
          <w:szCs w:val="33"/>
          <w:highlight w:val="none"/>
          <w:lang w:val="en-US" w:eastAsia="zh-CN" w:bidi="ar-SA"/>
        </w:rPr>
      </w:pPr>
      <w:r>
        <w:rPr>
          <w:rFonts w:hint="eastAsia" w:ascii="Times New Roman" w:hAnsi="Times New Roman" w:eastAsia="方正仿宋_GBK" w:cs="Times New Roman"/>
          <w:bCs w:val="0"/>
          <w:color w:val="auto"/>
          <w:kern w:val="2"/>
          <w:sz w:val="33"/>
          <w:szCs w:val="33"/>
          <w:highlight w:val="none"/>
          <w:lang w:val="en-US" w:eastAsia="zh-CN" w:bidi="ar-SA"/>
        </w:rPr>
        <w:t>对各项目做好前期情况摸排，精确了解每项资金的预算，确保工作得到进一步完善。</w:t>
      </w:r>
    </w:p>
    <w:p>
      <w:pPr>
        <w:pStyle w:val="2"/>
        <w:keepNext w:val="0"/>
        <w:keepLines w:val="0"/>
        <w:pageBreakBefore w:val="0"/>
        <w:numPr>
          <w:ilvl w:val="0"/>
          <w:numId w:val="0"/>
        </w:numPr>
        <w:kinsoku/>
        <w:wordWrap/>
        <w:overflowPunct/>
        <w:topLinePunct w:val="0"/>
        <w:autoSpaceDE/>
        <w:autoSpaceDN/>
        <w:bidi w:val="0"/>
        <w:spacing w:after="0" w:line="59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2"/>
        <w:keepNext w:val="0"/>
        <w:keepLines w:val="0"/>
        <w:pageBreakBefore w:val="0"/>
        <w:numPr>
          <w:ilvl w:val="0"/>
          <w:numId w:val="0"/>
        </w:numPr>
        <w:kinsoku/>
        <w:wordWrap/>
        <w:overflowPunct/>
        <w:topLinePunct w:val="0"/>
        <w:autoSpaceDE/>
        <w:autoSpaceDN/>
        <w:bidi w:val="0"/>
        <w:spacing w:after="0" w:line="590" w:lineRule="exact"/>
        <w:ind w:firstLine="660" w:firstLineChars="200"/>
        <w:textAlignment w:val="auto"/>
        <w:rPr>
          <w:rFonts w:hint="eastAsia" w:ascii="Times New Roman" w:hAnsi="Times New Roman" w:eastAsia="方正仿宋_GBK" w:cs="Times New Roman"/>
          <w:bCs w:val="0"/>
          <w:color w:val="auto"/>
          <w:kern w:val="2"/>
          <w:sz w:val="33"/>
          <w:szCs w:val="33"/>
          <w:highlight w:val="none"/>
          <w:lang w:val="zh-CN" w:eastAsia="zh-CN" w:bidi="ar-SA"/>
        </w:rPr>
      </w:pPr>
      <w:r>
        <w:rPr>
          <w:rFonts w:hint="eastAsia" w:ascii="Times New Roman" w:hAnsi="Times New Roman" w:eastAsia="方正仿宋_GBK" w:cs="Times New Roman"/>
          <w:bCs w:val="0"/>
          <w:color w:val="auto"/>
          <w:kern w:val="2"/>
          <w:sz w:val="33"/>
          <w:szCs w:val="33"/>
          <w:highlight w:val="none"/>
          <w:lang w:val="zh-CN" w:eastAsia="zh-CN" w:bidi="ar-SA"/>
        </w:rPr>
        <w:t>附表：</w:t>
      </w:r>
      <w:r>
        <w:rPr>
          <w:rFonts w:hint="eastAsia" w:ascii="Times New Roman" w:hAnsi="Times New Roman" w:eastAsia="方正仿宋_GBK" w:cs="Times New Roman"/>
          <w:bCs w:val="0"/>
          <w:color w:val="auto"/>
          <w:kern w:val="2"/>
          <w:sz w:val="33"/>
          <w:szCs w:val="33"/>
          <w:highlight w:val="none"/>
          <w:lang w:val="en-US" w:eastAsia="zh-CN" w:bidi="ar-SA"/>
        </w:rPr>
        <w:t>部门预算项目支出绩效自评表（2022年度）</w:t>
      </w:r>
    </w:p>
    <w:tbl>
      <w:tblPr>
        <w:tblStyle w:val="18"/>
        <w:tblW w:w="9623" w:type="dxa"/>
        <w:tblInd w:w="-150" w:type="dxa"/>
        <w:tblLayout w:type="fixed"/>
        <w:tblCellMar>
          <w:top w:w="0" w:type="dxa"/>
          <w:left w:w="108" w:type="dxa"/>
          <w:bottom w:w="0" w:type="dxa"/>
          <w:right w:w="108" w:type="dxa"/>
        </w:tblCellMar>
      </w:tblPr>
      <w:tblGrid>
        <w:gridCol w:w="1003"/>
        <w:gridCol w:w="760"/>
        <w:gridCol w:w="829"/>
        <w:gridCol w:w="2416"/>
        <w:gridCol w:w="538"/>
        <w:gridCol w:w="677"/>
        <w:gridCol w:w="539"/>
        <w:gridCol w:w="861"/>
        <w:gridCol w:w="584"/>
        <w:gridCol w:w="653"/>
        <w:gridCol w:w="763"/>
      </w:tblGrid>
      <w:tr>
        <w:tblPrEx>
          <w:tblCellMar>
            <w:top w:w="0" w:type="dxa"/>
            <w:left w:w="108" w:type="dxa"/>
            <w:bottom w:w="0" w:type="dxa"/>
            <w:right w:w="108" w:type="dxa"/>
          </w:tblCellMar>
        </w:tblPrEx>
        <w:trPr>
          <w:trHeight w:val="375" w:hRule="atLeast"/>
        </w:trPr>
        <w:tc>
          <w:tcPr>
            <w:tcW w:w="96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黑体" w:cs="黑体"/>
                <w:b/>
                <w:color w:val="000000"/>
                <w:sz w:val="30"/>
                <w:szCs w:val="30"/>
              </w:rPr>
            </w:pPr>
            <w:r>
              <w:rPr>
                <w:rFonts w:eastAsia="黑体" w:cs="黑体"/>
                <w:b/>
                <w:color w:val="000000"/>
                <w:kern w:val="0"/>
                <w:sz w:val="30"/>
                <w:szCs w:val="30"/>
              </w:rPr>
              <w:t>部门预算项目支出绩效自评表（2022年度）</w:t>
            </w:r>
          </w:p>
        </w:tc>
      </w:tr>
      <w:tr>
        <w:tblPrEx>
          <w:tblCellMar>
            <w:top w:w="0" w:type="dxa"/>
            <w:left w:w="108" w:type="dxa"/>
            <w:bottom w:w="0" w:type="dxa"/>
            <w:right w:w="108" w:type="dxa"/>
          </w:tblCellMar>
        </w:tblPrEx>
        <w:trPr>
          <w:trHeight w:val="27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项目名称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51160222T000000342251-民族工作机动金</w:t>
            </w:r>
          </w:p>
        </w:tc>
      </w:tr>
      <w:tr>
        <w:tblPrEx>
          <w:tblCellMar>
            <w:top w:w="0" w:type="dxa"/>
            <w:left w:w="108" w:type="dxa"/>
            <w:bottom w:w="0" w:type="dxa"/>
            <w:right w:w="108" w:type="dxa"/>
          </w:tblCellMar>
        </w:tblPrEx>
        <w:trPr>
          <w:trHeight w:val="48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主管部门</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c>
          <w:tcPr>
            <w:tcW w:w="861"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eastAsia="黑体" w:cs="黑体"/>
                <w:color w:val="000000"/>
                <w:kern w:val="0"/>
                <w:sz w:val="18"/>
                <w:szCs w:val="18"/>
              </w:rPr>
              <w:t>实施单位 （盖章）</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r>
      <w:tr>
        <w:tblPrEx>
          <w:tblCellMar>
            <w:top w:w="0" w:type="dxa"/>
            <w:left w:w="108" w:type="dxa"/>
            <w:bottom w:w="0" w:type="dxa"/>
            <w:right w:w="108" w:type="dxa"/>
          </w:tblCellMar>
        </w:tblPrEx>
        <w:trPr>
          <w:trHeight w:val="27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1.项目年度目标完成情况</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年度目标完成情况</w:t>
            </w:r>
          </w:p>
        </w:tc>
      </w:tr>
      <w:tr>
        <w:tblPrEx>
          <w:tblCellMar>
            <w:top w:w="0" w:type="dxa"/>
            <w:left w:w="108" w:type="dxa"/>
            <w:bottom w:w="0" w:type="dxa"/>
            <w:right w:w="108" w:type="dxa"/>
          </w:tblCellMar>
        </w:tblPrEx>
        <w:trPr>
          <w:trHeight w:val="17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民族工作机动金主要用于本辖区内的少数民族群众服务、管理和组织开展活动等工作，确保少数民族群众生产生活得到改善，提升生活水平。</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全年按计划圆满完成</w:t>
            </w:r>
            <w:r>
              <w:rPr>
                <w:rFonts w:hint="eastAsia" w:cs="宋体"/>
                <w:color w:val="000000"/>
                <w:kern w:val="0"/>
                <w:sz w:val="18"/>
                <w:szCs w:val="18"/>
              </w:rPr>
              <w:t>本辖区内的少数民族群众服务、管理和组织开展活动等工作</w:t>
            </w:r>
            <w:r>
              <w:rPr>
                <w:rFonts w:cs="宋体"/>
                <w:color w:val="000000"/>
                <w:kern w:val="0"/>
                <w:sz w:val="18"/>
                <w:szCs w:val="18"/>
              </w:rPr>
              <w:t>，综合表现获得</w:t>
            </w:r>
            <w:r>
              <w:rPr>
                <w:rFonts w:hint="eastAsia" w:cs="宋体"/>
                <w:color w:val="000000"/>
                <w:kern w:val="0"/>
                <w:sz w:val="18"/>
                <w:szCs w:val="18"/>
                <w:lang w:val="en-US" w:eastAsia="zh-CN"/>
              </w:rPr>
              <w:t>辖区少数民族群众认可</w:t>
            </w:r>
            <w:r>
              <w:rPr>
                <w:rFonts w:cs="宋体"/>
                <w:color w:val="000000"/>
                <w:kern w:val="0"/>
                <w:sz w:val="18"/>
                <w:szCs w:val="18"/>
              </w:rPr>
              <w:t>。</w:t>
            </w:r>
          </w:p>
        </w:tc>
      </w:tr>
      <w:tr>
        <w:tblPrEx>
          <w:tblCellMar>
            <w:top w:w="0" w:type="dxa"/>
            <w:left w:w="108" w:type="dxa"/>
            <w:bottom w:w="0" w:type="dxa"/>
            <w:right w:w="108" w:type="dxa"/>
          </w:tblCellMar>
        </w:tblPrEx>
        <w:trPr>
          <w:trHeight w:val="12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2.项目实施内容及过程概述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认真学习习近平总书记关于加强和改进民族工作的重要思想。</w:t>
            </w:r>
            <w:r>
              <w:rPr>
                <w:rFonts w:hint="eastAsia" w:cs="宋体"/>
                <w:color w:val="000000"/>
                <w:kern w:val="0"/>
                <w:sz w:val="18"/>
                <w:szCs w:val="18"/>
                <w:lang w:val="en-US" w:eastAsia="zh-CN"/>
              </w:rPr>
              <w:t>帮助少数民族就近入学，</w:t>
            </w:r>
            <w:r>
              <w:rPr>
                <w:rFonts w:hint="eastAsia" w:cs="宋体"/>
                <w:color w:val="000000"/>
                <w:kern w:val="0"/>
                <w:sz w:val="18"/>
                <w:szCs w:val="18"/>
              </w:rPr>
              <w:t>开展“民族团结一家亲”文艺表演等主题活动，持续铸牢中华民族共同体意识</w:t>
            </w:r>
            <w:r>
              <w:rPr>
                <w:rFonts w:cs="宋体"/>
                <w:color w:val="000000"/>
                <w:kern w:val="0"/>
                <w:sz w:val="18"/>
                <w:szCs w:val="18"/>
              </w:rPr>
              <w:t>。</w:t>
            </w: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年度预算数（万元）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年初预算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原因</w:t>
            </w: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总额</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其中：财政资金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15.</w:t>
            </w:r>
            <w:r>
              <w:rPr>
                <w:rFonts w:cs="宋体"/>
                <w:color w:val="000000"/>
                <w:kern w:val="0"/>
                <w:sz w:val="18"/>
                <w:szCs w:val="18"/>
              </w:rPr>
              <w:t>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财政专户管理资金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单位资金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其他资金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一级指标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二级指标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三级指标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指标性质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指标值</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完成值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未完成原因分析</w:t>
            </w:r>
          </w:p>
        </w:tc>
      </w:tr>
      <w:tr>
        <w:tblPrEx>
          <w:tblCellMar>
            <w:top w:w="0" w:type="dxa"/>
            <w:left w:w="108" w:type="dxa"/>
            <w:bottom w:w="0" w:type="dxa"/>
            <w:right w:w="108" w:type="dxa"/>
          </w:tblCellMar>
        </w:tblPrEx>
        <w:trPr>
          <w:trHeight w:val="80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产出指标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质量好</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91"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在年底完成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好坏</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673"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成本指标</w:t>
            </w:r>
          </w:p>
        </w:tc>
        <w:tc>
          <w:tcPr>
            <w:tcW w:w="241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成本不高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万元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效益指标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促进社会和谐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80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18"/>
                <w:szCs w:val="18"/>
                <w:lang w:val="en-US" w:eastAsia="zh-CN"/>
              </w:rPr>
            </w:pPr>
            <w:r>
              <w:rPr>
                <w:rFonts w:hint="eastAsia" w:cs="宋体"/>
                <w:color w:val="000000"/>
                <w:sz w:val="18"/>
                <w:szCs w:val="18"/>
                <w:lang w:val="en-US" w:eastAsia="zh-CN"/>
              </w:rPr>
              <w:t>对财政负担不高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s="宋体"/>
                <w:color w:val="000000"/>
                <w:kern w:val="0"/>
                <w:sz w:val="18"/>
                <w:szCs w:val="18"/>
                <w:lang w:val="en-US" w:eastAsia="zh-CN"/>
              </w:rPr>
            </w:pPr>
            <w:r>
              <w:rPr>
                <w:rFonts w:hint="eastAsia" w:cs="宋体"/>
                <w:color w:val="000000"/>
                <w:kern w:val="0"/>
                <w:sz w:val="18"/>
                <w:szCs w:val="18"/>
                <w:lang w:val="en-US" w:eastAsia="zh-CN"/>
              </w:rPr>
              <w:t>高低</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hint="eastAsia" w:cs="宋体"/>
                <w:color w:val="000000"/>
                <w:kern w:val="0"/>
                <w:sz w:val="18"/>
                <w:szCs w:val="18"/>
                <w:lang w:val="en-US" w:eastAsia="zh-CN"/>
              </w:rPr>
              <w:t>低</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满意度指标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服务对象满意度指标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社会公众满意度进一步提升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95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270" w:hRule="atLeast"/>
        </w:trPr>
        <w:tc>
          <w:tcPr>
            <w:tcW w:w="7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合计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评价结论</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项目执行情况良好，圆满完成各项目标任务，项目自评分得100</w:t>
            </w:r>
            <w:r>
              <w:rPr>
                <w:rFonts w:hint="eastAsia" w:cs="宋体"/>
                <w:color w:val="000000"/>
                <w:kern w:val="0"/>
                <w:sz w:val="18"/>
                <w:szCs w:val="18"/>
                <w:lang w:eastAsia="zh-CN"/>
              </w:rPr>
              <w:t>。</w:t>
            </w:r>
            <w:r>
              <w:rPr>
                <w:rFonts w:hint="eastAsia" w:cs="宋体"/>
                <w:color w:val="000000"/>
                <w:kern w:val="0"/>
                <w:sz w:val="18"/>
                <w:szCs w:val="18"/>
              </w:rPr>
              <w:t>用于本辖区内的少数民族群众服务、管理和组织开展活动等工作，确保少数民族群众生产生活得到改善，提升生活水平。帮助少数民族就近入学，开展“民族团结一家亲”文艺表演等主题活动，持续铸牢中华民族共同体意识</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存在问题</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val="en-US" w:eastAsia="zh-CN"/>
              </w:rPr>
              <w:t>业务员专业性不够强</w:t>
            </w:r>
            <w:r>
              <w:rPr>
                <w:rFonts w:cs="宋体"/>
                <w:color w:val="000000"/>
                <w:kern w:val="0"/>
                <w:sz w:val="18"/>
                <w:szCs w:val="18"/>
              </w:rPr>
              <w:t>。</w:t>
            </w:r>
            <w:r>
              <w:rPr>
                <w:rFonts w:hint="eastAsia" w:cs="宋体"/>
                <w:color w:val="000000"/>
                <w:kern w:val="0"/>
                <w:sz w:val="18"/>
                <w:szCs w:val="18"/>
                <w:lang w:val="en-US" w:eastAsia="zh-CN"/>
              </w:rPr>
              <w:t>无民族相关专业的专业人才从事工作</w:t>
            </w:r>
            <w:r>
              <w:rPr>
                <w:rFonts w:cs="宋体"/>
                <w:color w:val="000000"/>
                <w:kern w:val="0"/>
                <w:sz w:val="18"/>
                <w:szCs w:val="18"/>
              </w:rPr>
              <w:t>。</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改进措施</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争取引进专业人才，做好全区民族领域工作。</w:t>
            </w:r>
          </w:p>
        </w:tc>
      </w:tr>
      <w:tr>
        <w:tblPrEx>
          <w:tblCellMar>
            <w:top w:w="0" w:type="dxa"/>
            <w:left w:w="108" w:type="dxa"/>
            <w:bottom w:w="0" w:type="dxa"/>
            <w:right w:w="108" w:type="dxa"/>
          </w:tblCellMar>
        </w:tblPrEx>
        <w:trPr>
          <w:trHeight w:val="915" w:hRule="atLeast"/>
        </w:trPr>
        <w:tc>
          <w:tcPr>
            <w:tcW w:w="5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项目负责人：</w:t>
            </w:r>
            <w:r>
              <w:rPr>
                <w:rFonts w:hint="eastAsia" w:eastAsia="黑体" w:cs="黑体"/>
                <w:color w:val="000000"/>
                <w:kern w:val="0"/>
                <w:sz w:val="18"/>
                <w:szCs w:val="18"/>
                <w:lang w:val="en-US" w:eastAsia="zh-CN"/>
              </w:rPr>
              <w:t xml:space="preserve"> </w:t>
            </w:r>
          </w:p>
        </w:tc>
        <w:tc>
          <w:tcPr>
            <w:tcW w:w="40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财务负责人:</w:t>
            </w:r>
            <w:r>
              <w:rPr>
                <w:rFonts w:hint="eastAsia" w:eastAsia="黑体" w:cs="黑体"/>
                <w:color w:val="000000"/>
                <w:kern w:val="0"/>
                <w:sz w:val="18"/>
                <w:szCs w:val="18"/>
                <w:lang w:val="en-US" w:eastAsia="zh-CN"/>
              </w:rPr>
              <w:t xml:space="preserve"> </w:t>
            </w:r>
          </w:p>
        </w:tc>
      </w:tr>
    </w:tbl>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tbl>
      <w:tblPr>
        <w:tblStyle w:val="18"/>
        <w:tblW w:w="9623" w:type="dxa"/>
        <w:tblInd w:w="-150" w:type="dxa"/>
        <w:tblLayout w:type="fixed"/>
        <w:tblCellMar>
          <w:top w:w="0" w:type="dxa"/>
          <w:left w:w="108" w:type="dxa"/>
          <w:bottom w:w="0" w:type="dxa"/>
          <w:right w:w="108" w:type="dxa"/>
        </w:tblCellMar>
      </w:tblPr>
      <w:tblGrid>
        <w:gridCol w:w="1003"/>
        <w:gridCol w:w="760"/>
        <w:gridCol w:w="829"/>
        <w:gridCol w:w="2416"/>
        <w:gridCol w:w="538"/>
        <w:gridCol w:w="677"/>
        <w:gridCol w:w="539"/>
        <w:gridCol w:w="861"/>
        <w:gridCol w:w="584"/>
        <w:gridCol w:w="653"/>
        <w:gridCol w:w="763"/>
      </w:tblGrid>
      <w:tr>
        <w:tblPrEx>
          <w:tblCellMar>
            <w:top w:w="0" w:type="dxa"/>
            <w:left w:w="108" w:type="dxa"/>
            <w:bottom w:w="0" w:type="dxa"/>
            <w:right w:w="108" w:type="dxa"/>
          </w:tblCellMar>
        </w:tblPrEx>
        <w:trPr>
          <w:trHeight w:val="375" w:hRule="atLeast"/>
        </w:trPr>
        <w:tc>
          <w:tcPr>
            <w:tcW w:w="96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黑体" w:cs="黑体"/>
                <w:b/>
                <w:color w:val="000000"/>
                <w:sz w:val="30"/>
                <w:szCs w:val="30"/>
              </w:rPr>
            </w:pPr>
            <w:r>
              <w:rPr>
                <w:rFonts w:eastAsia="黑体" w:cs="黑体"/>
                <w:b/>
                <w:color w:val="000000"/>
                <w:kern w:val="0"/>
                <w:sz w:val="30"/>
                <w:szCs w:val="30"/>
              </w:rPr>
              <w:t>部门预算项目支出绩效自评表（2022年度）</w:t>
            </w:r>
          </w:p>
        </w:tc>
      </w:tr>
      <w:tr>
        <w:tblPrEx>
          <w:tblCellMar>
            <w:top w:w="0" w:type="dxa"/>
            <w:left w:w="108" w:type="dxa"/>
            <w:bottom w:w="0" w:type="dxa"/>
            <w:right w:w="108" w:type="dxa"/>
          </w:tblCellMar>
        </w:tblPrEx>
        <w:trPr>
          <w:trHeight w:val="27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项目名称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51160222T000000362914-新的社会阶层人士联谊会工作经费</w:t>
            </w:r>
          </w:p>
        </w:tc>
      </w:tr>
      <w:tr>
        <w:tblPrEx>
          <w:tblCellMar>
            <w:top w:w="0" w:type="dxa"/>
            <w:left w:w="108" w:type="dxa"/>
            <w:bottom w:w="0" w:type="dxa"/>
            <w:right w:w="108" w:type="dxa"/>
          </w:tblCellMar>
        </w:tblPrEx>
        <w:trPr>
          <w:trHeight w:val="48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主管部门</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c>
          <w:tcPr>
            <w:tcW w:w="861"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eastAsia="黑体" w:cs="黑体"/>
                <w:color w:val="000000"/>
                <w:kern w:val="0"/>
                <w:sz w:val="18"/>
                <w:szCs w:val="18"/>
              </w:rPr>
              <w:t>实施单位 （盖章）</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r>
      <w:tr>
        <w:tblPrEx>
          <w:tblCellMar>
            <w:top w:w="0" w:type="dxa"/>
            <w:left w:w="108" w:type="dxa"/>
            <w:bottom w:w="0" w:type="dxa"/>
            <w:right w:w="108" w:type="dxa"/>
          </w:tblCellMar>
        </w:tblPrEx>
        <w:trPr>
          <w:trHeight w:val="27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1.项目年度目标完成情况</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年度目标完成情况</w:t>
            </w:r>
          </w:p>
        </w:tc>
      </w:tr>
      <w:tr>
        <w:tblPrEx>
          <w:tblCellMar>
            <w:top w:w="0" w:type="dxa"/>
            <w:left w:w="108" w:type="dxa"/>
            <w:bottom w:w="0" w:type="dxa"/>
            <w:right w:w="108" w:type="dxa"/>
          </w:tblCellMar>
        </w:tblPrEx>
        <w:trPr>
          <w:trHeight w:val="17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用于本辖区内的新的社会阶层人士服务、管理和组织开展活动等工作，保障新的社会阶层人士工作权益。</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全年按计划圆满完成</w:t>
            </w:r>
            <w:r>
              <w:rPr>
                <w:rFonts w:hint="eastAsia" w:cs="宋体"/>
                <w:color w:val="000000"/>
                <w:kern w:val="0"/>
                <w:sz w:val="18"/>
                <w:szCs w:val="18"/>
              </w:rPr>
              <w:t>本辖区内的新的社会阶层人士服务、管理和组织开展活动等工作</w:t>
            </w:r>
            <w:r>
              <w:rPr>
                <w:rFonts w:cs="宋体"/>
                <w:color w:val="000000"/>
                <w:kern w:val="0"/>
                <w:sz w:val="18"/>
                <w:szCs w:val="18"/>
              </w:rPr>
              <w:t>，综合表现获得</w:t>
            </w:r>
            <w:r>
              <w:rPr>
                <w:rFonts w:hint="eastAsia" w:cs="宋体"/>
                <w:color w:val="000000"/>
                <w:kern w:val="0"/>
                <w:sz w:val="18"/>
                <w:szCs w:val="18"/>
                <w:lang w:val="en-US" w:eastAsia="zh-CN"/>
              </w:rPr>
              <w:t>辖区新的社会阶层人士认可</w:t>
            </w:r>
            <w:r>
              <w:rPr>
                <w:rFonts w:cs="宋体"/>
                <w:color w:val="000000"/>
                <w:kern w:val="0"/>
                <w:sz w:val="18"/>
                <w:szCs w:val="18"/>
              </w:rPr>
              <w:t>。</w:t>
            </w:r>
          </w:p>
        </w:tc>
      </w:tr>
      <w:tr>
        <w:tblPrEx>
          <w:tblCellMar>
            <w:top w:w="0" w:type="dxa"/>
            <w:left w:w="108" w:type="dxa"/>
            <w:bottom w:w="0" w:type="dxa"/>
            <w:right w:w="108" w:type="dxa"/>
          </w:tblCellMar>
        </w:tblPrEx>
        <w:trPr>
          <w:trHeight w:val="12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2.项目实施内容及过程概述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支持区新联会工作有序开展。调整新联会理事会及班子成员，成立新媒体网络人士分会。开展红色主题教育活动、公益活动等共计10次。与大龙镇战斗村签订结对帮扶协议，累计受益400余人次，助农增收10余万元。区新联会“同心·法律”服务团团长陈素芳律师荣获川渝首届“巴山律师论坛”优秀论文奖。</w:t>
            </w: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年度预算数（万元）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年初预算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原因</w:t>
            </w: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总额</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其中：财政资金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8.</w:t>
            </w:r>
            <w:r>
              <w:rPr>
                <w:rFonts w:cs="宋体"/>
                <w:color w:val="000000"/>
                <w:kern w:val="0"/>
                <w:sz w:val="18"/>
                <w:szCs w:val="18"/>
              </w:rPr>
              <w:t>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财政专户管理资金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单位资金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其他资金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一级指标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二级指标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三级指标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指标性质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指标值</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完成值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未完成原因分析</w:t>
            </w:r>
          </w:p>
        </w:tc>
      </w:tr>
      <w:tr>
        <w:tblPrEx>
          <w:tblCellMar>
            <w:top w:w="0" w:type="dxa"/>
            <w:left w:w="108" w:type="dxa"/>
            <w:bottom w:w="0" w:type="dxa"/>
            <w:right w:w="108" w:type="dxa"/>
          </w:tblCellMar>
        </w:tblPrEx>
        <w:trPr>
          <w:trHeight w:val="80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产出指标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质量好</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91"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在年底完成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好坏</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673"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成本指标</w:t>
            </w:r>
          </w:p>
        </w:tc>
        <w:tc>
          <w:tcPr>
            <w:tcW w:w="241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成本不高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万元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效益指标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促进社会和谐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80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18"/>
                <w:szCs w:val="18"/>
                <w:lang w:val="en-US" w:eastAsia="zh-CN"/>
              </w:rPr>
            </w:pPr>
            <w:r>
              <w:rPr>
                <w:rFonts w:hint="eastAsia" w:cs="宋体"/>
                <w:color w:val="000000"/>
                <w:sz w:val="18"/>
                <w:szCs w:val="18"/>
                <w:lang w:val="en-US" w:eastAsia="zh-CN"/>
              </w:rPr>
              <w:t>对财政负担不高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s="宋体"/>
                <w:color w:val="000000"/>
                <w:kern w:val="0"/>
                <w:sz w:val="18"/>
                <w:szCs w:val="18"/>
                <w:lang w:val="en-US" w:eastAsia="zh-CN"/>
              </w:rPr>
            </w:pPr>
            <w:r>
              <w:rPr>
                <w:rFonts w:hint="eastAsia" w:cs="宋体"/>
                <w:color w:val="000000"/>
                <w:kern w:val="0"/>
                <w:sz w:val="18"/>
                <w:szCs w:val="18"/>
                <w:lang w:val="en-US" w:eastAsia="zh-CN"/>
              </w:rPr>
              <w:t>高低</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hint="eastAsia" w:cs="宋体"/>
                <w:color w:val="000000"/>
                <w:kern w:val="0"/>
                <w:sz w:val="18"/>
                <w:szCs w:val="18"/>
                <w:lang w:val="en-US" w:eastAsia="zh-CN"/>
              </w:rPr>
              <w:t>低</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满意度指标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服务对象满意度指标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社会公众满意度进一步提升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95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270" w:hRule="atLeast"/>
        </w:trPr>
        <w:tc>
          <w:tcPr>
            <w:tcW w:w="7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合计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评价结论</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项目执行情况良好，圆满完成各项目标任务，项目自评分得100</w:t>
            </w:r>
            <w:r>
              <w:rPr>
                <w:rFonts w:hint="eastAsia" w:cs="宋体"/>
                <w:color w:val="000000"/>
                <w:kern w:val="0"/>
                <w:sz w:val="18"/>
                <w:szCs w:val="18"/>
                <w:lang w:eastAsia="zh-CN"/>
              </w:rPr>
              <w:t>。</w:t>
            </w:r>
            <w:r>
              <w:rPr>
                <w:rFonts w:hint="eastAsia" w:cs="宋体"/>
                <w:color w:val="000000"/>
                <w:kern w:val="0"/>
                <w:sz w:val="18"/>
                <w:szCs w:val="18"/>
              </w:rPr>
              <w:t>支持区新联会工作有序开展。调整新联会理事会及班子成员，成立新媒体网络人士分会。开展红色主题教育活动、公益活动等共计10次。与大龙镇战斗村签订结对帮扶协议，累计受益400余人次，助农增收10余万元。区新联会“同心·法律”服务团团长陈素芳律师荣获川渝首届“巴山律师论坛”优秀论文奖。</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存在问题</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lang w:val="en-US" w:eastAsia="zh-CN"/>
              </w:rPr>
              <w:t>无</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改进措施</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p>
        </w:tc>
      </w:tr>
      <w:tr>
        <w:tblPrEx>
          <w:tblCellMar>
            <w:top w:w="0" w:type="dxa"/>
            <w:left w:w="108" w:type="dxa"/>
            <w:bottom w:w="0" w:type="dxa"/>
            <w:right w:w="108" w:type="dxa"/>
          </w:tblCellMar>
        </w:tblPrEx>
        <w:trPr>
          <w:trHeight w:val="915" w:hRule="atLeast"/>
        </w:trPr>
        <w:tc>
          <w:tcPr>
            <w:tcW w:w="5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项目负责人：</w:t>
            </w:r>
            <w:r>
              <w:rPr>
                <w:rFonts w:hint="eastAsia" w:eastAsia="黑体" w:cs="黑体"/>
                <w:color w:val="000000"/>
                <w:kern w:val="0"/>
                <w:sz w:val="18"/>
                <w:szCs w:val="18"/>
                <w:lang w:val="en-US" w:eastAsia="zh-CN"/>
              </w:rPr>
              <w:t xml:space="preserve"> </w:t>
            </w:r>
          </w:p>
        </w:tc>
        <w:tc>
          <w:tcPr>
            <w:tcW w:w="40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财务负责人:</w:t>
            </w:r>
            <w:r>
              <w:rPr>
                <w:rFonts w:hint="eastAsia" w:eastAsia="黑体" w:cs="黑体"/>
                <w:color w:val="000000"/>
                <w:kern w:val="0"/>
                <w:sz w:val="18"/>
                <w:szCs w:val="18"/>
                <w:lang w:val="en-US" w:eastAsia="zh-CN"/>
              </w:rPr>
              <w:t xml:space="preserve"> </w:t>
            </w:r>
          </w:p>
        </w:tc>
      </w:tr>
    </w:tbl>
    <w:p>
      <w:pPr>
        <w:pStyle w:val="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8"/>
        <w:tblW w:w="9623" w:type="dxa"/>
        <w:tblInd w:w="-150" w:type="dxa"/>
        <w:tblLayout w:type="fixed"/>
        <w:tblCellMar>
          <w:top w:w="0" w:type="dxa"/>
          <w:left w:w="108" w:type="dxa"/>
          <w:bottom w:w="0" w:type="dxa"/>
          <w:right w:w="108" w:type="dxa"/>
        </w:tblCellMar>
      </w:tblPr>
      <w:tblGrid>
        <w:gridCol w:w="1003"/>
        <w:gridCol w:w="760"/>
        <w:gridCol w:w="829"/>
        <w:gridCol w:w="2416"/>
        <w:gridCol w:w="538"/>
        <w:gridCol w:w="677"/>
        <w:gridCol w:w="539"/>
        <w:gridCol w:w="861"/>
        <w:gridCol w:w="584"/>
        <w:gridCol w:w="653"/>
        <w:gridCol w:w="763"/>
      </w:tblGrid>
      <w:tr>
        <w:tblPrEx>
          <w:tblCellMar>
            <w:top w:w="0" w:type="dxa"/>
            <w:left w:w="108" w:type="dxa"/>
            <w:bottom w:w="0" w:type="dxa"/>
            <w:right w:w="108" w:type="dxa"/>
          </w:tblCellMar>
        </w:tblPrEx>
        <w:trPr>
          <w:trHeight w:val="375" w:hRule="atLeast"/>
        </w:trPr>
        <w:tc>
          <w:tcPr>
            <w:tcW w:w="96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黑体" w:cs="黑体"/>
                <w:b/>
                <w:color w:val="000000"/>
                <w:sz w:val="30"/>
                <w:szCs w:val="30"/>
              </w:rPr>
            </w:pPr>
            <w:r>
              <w:rPr>
                <w:rFonts w:eastAsia="黑体" w:cs="黑体"/>
                <w:b/>
                <w:color w:val="000000"/>
                <w:kern w:val="0"/>
                <w:sz w:val="30"/>
                <w:szCs w:val="30"/>
              </w:rPr>
              <w:t>部门预算项目支出绩效自评表（2022年度）</w:t>
            </w:r>
          </w:p>
        </w:tc>
      </w:tr>
      <w:tr>
        <w:tblPrEx>
          <w:tblCellMar>
            <w:top w:w="0" w:type="dxa"/>
            <w:left w:w="108" w:type="dxa"/>
            <w:bottom w:w="0" w:type="dxa"/>
            <w:right w:w="108" w:type="dxa"/>
          </w:tblCellMar>
        </w:tblPrEx>
        <w:trPr>
          <w:trHeight w:val="27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项目名称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51160222T000000362919-统战特别经费</w:t>
            </w:r>
          </w:p>
        </w:tc>
      </w:tr>
      <w:tr>
        <w:tblPrEx>
          <w:tblCellMar>
            <w:top w:w="0" w:type="dxa"/>
            <w:left w:w="108" w:type="dxa"/>
            <w:bottom w:w="0" w:type="dxa"/>
            <w:right w:w="108" w:type="dxa"/>
          </w:tblCellMar>
        </w:tblPrEx>
        <w:trPr>
          <w:trHeight w:val="480" w:hRule="atLeast"/>
        </w:trPr>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主管部门</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c>
          <w:tcPr>
            <w:tcW w:w="861" w:type="dxa"/>
            <w:tcBorders>
              <w:top w:val="nil"/>
              <w:left w:val="nil"/>
              <w:bottom w:val="nil"/>
              <w:right w:val="nil"/>
            </w:tcBorders>
            <w:shd w:val="clear" w:color="auto" w:fill="auto"/>
            <w:vAlign w:val="center"/>
          </w:tcPr>
          <w:p>
            <w:pPr>
              <w:widowControl/>
              <w:jc w:val="left"/>
              <w:textAlignment w:val="center"/>
              <w:rPr>
                <w:rFonts w:eastAsia="黑体" w:cs="黑体"/>
                <w:color w:val="000000"/>
                <w:sz w:val="18"/>
                <w:szCs w:val="18"/>
              </w:rPr>
            </w:pPr>
            <w:r>
              <w:rPr>
                <w:rFonts w:eastAsia="黑体" w:cs="黑体"/>
                <w:color w:val="000000"/>
                <w:kern w:val="0"/>
                <w:sz w:val="18"/>
                <w:szCs w:val="18"/>
              </w:rPr>
              <w:t>实施单位 （盖章）</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广安区委统战部</w:t>
            </w:r>
          </w:p>
        </w:tc>
      </w:tr>
      <w:tr>
        <w:tblPrEx>
          <w:tblCellMar>
            <w:top w:w="0" w:type="dxa"/>
            <w:left w:w="108" w:type="dxa"/>
            <w:bottom w:w="0" w:type="dxa"/>
            <w:right w:w="108" w:type="dxa"/>
          </w:tblCellMar>
        </w:tblPrEx>
        <w:trPr>
          <w:trHeight w:val="27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1.项目年度目标完成情况</w:t>
            </w: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年度目标完成情况</w:t>
            </w:r>
          </w:p>
        </w:tc>
      </w:tr>
      <w:tr>
        <w:tblPrEx>
          <w:tblCellMar>
            <w:top w:w="0" w:type="dxa"/>
            <w:left w:w="108" w:type="dxa"/>
            <w:bottom w:w="0" w:type="dxa"/>
            <w:right w:w="108" w:type="dxa"/>
          </w:tblCellMar>
        </w:tblPrEx>
        <w:trPr>
          <w:trHeight w:val="172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该项目主要用于本辖区内的统战特别对象服务、管理和组织开展活动等工作，保障统战工作顺利开展。</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全年按计划圆满完成</w:t>
            </w:r>
            <w:r>
              <w:rPr>
                <w:rFonts w:hint="eastAsia" w:cs="宋体"/>
                <w:color w:val="000000"/>
                <w:kern w:val="0"/>
                <w:sz w:val="18"/>
                <w:szCs w:val="18"/>
              </w:rPr>
              <w:t>本辖区内的统战特别对象服务、管理和组织开展活动等工作</w:t>
            </w:r>
            <w:r>
              <w:rPr>
                <w:rFonts w:cs="宋体"/>
                <w:color w:val="000000"/>
                <w:kern w:val="0"/>
                <w:sz w:val="18"/>
                <w:szCs w:val="18"/>
              </w:rPr>
              <w:t>，综合表现获得</w:t>
            </w:r>
            <w:r>
              <w:rPr>
                <w:rFonts w:hint="eastAsia" w:cs="宋体"/>
                <w:color w:val="000000"/>
                <w:kern w:val="0"/>
                <w:sz w:val="18"/>
                <w:szCs w:val="18"/>
                <w:lang w:val="en-US" w:eastAsia="zh-CN"/>
              </w:rPr>
              <w:t>辖区认可</w:t>
            </w:r>
            <w:r>
              <w:rPr>
                <w:rFonts w:cs="宋体"/>
                <w:color w:val="000000"/>
                <w:kern w:val="0"/>
                <w:sz w:val="18"/>
                <w:szCs w:val="18"/>
              </w:rPr>
              <w:t>。</w:t>
            </w:r>
          </w:p>
        </w:tc>
      </w:tr>
      <w:tr>
        <w:tblPrEx>
          <w:tblCellMar>
            <w:top w:w="0" w:type="dxa"/>
            <w:left w:w="108" w:type="dxa"/>
            <w:bottom w:w="0" w:type="dxa"/>
            <w:right w:w="108" w:type="dxa"/>
          </w:tblCellMar>
        </w:tblPrEx>
        <w:trPr>
          <w:trHeight w:val="123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cs="宋体"/>
                <w:color w:val="000000"/>
                <w:kern w:val="0"/>
                <w:sz w:val="18"/>
                <w:szCs w:val="18"/>
              </w:rPr>
              <w:t>2.项目实施内容及过程概述</w:t>
            </w:r>
          </w:p>
        </w:tc>
        <w:tc>
          <w:tcPr>
            <w:tcW w:w="7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通过走访慰问统战对象，向统战对象介绍了2022年全市经济社会发展及统战工作取得的成绩，认真听取代表人士意见和建议。希望他们继续关心和支持统战工作，发挥自身优势，以更加奋发有为的精神状态履职尽责，在凝心聚力、服务大局上发挥更大作用。</w:t>
            </w: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年度预算数（万元）</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年初预算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调整后预算数</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预算执行率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原因</w:t>
            </w: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总额</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20.</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20.</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18"/>
                <w:szCs w:val="18"/>
                <w:lang w:val="en-US"/>
              </w:rPr>
            </w:pPr>
            <w:r>
              <w:rPr>
                <w:rFonts w:hint="eastAsia" w:cs="宋体"/>
                <w:color w:val="000000"/>
                <w:kern w:val="0"/>
                <w:sz w:val="18"/>
                <w:szCs w:val="18"/>
                <w:lang w:val="en-US" w:eastAsia="zh-CN"/>
              </w:rPr>
              <w:t>13.97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70</w:t>
            </w:r>
            <w:r>
              <w:rPr>
                <w:rFonts w:cs="宋体"/>
                <w:color w:val="000000"/>
                <w:kern w:val="0"/>
                <w:sz w:val="18"/>
                <w:szCs w:val="18"/>
              </w:rPr>
              <w:t>.00%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s="宋体"/>
                <w:color w:val="000000"/>
                <w:sz w:val="18"/>
                <w:szCs w:val="18"/>
                <w:lang w:eastAsia="zh-CN"/>
              </w:rPr>
            </w:pPr>
            <w:r>
              <w:rPr>
                <w:rFonts w:hint="eastAsia" w:cs="宋体"/>
                <w:color w:val="000000"/>
                <w:kern w:val="0"/>
                <w:sz w:val="18"/>
                <w:szCs w:val="18"/>
                <w:lang w:val="en-US" w:eastAsia="zh-CN"/>
              </w:rPr>
              <w:t>7</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其中：财政资金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20.</w:t>
            </w:r>
            <w:r>
              <w:rPr>
                <w:rFonts w:cs="宋体"/>
                <w:color w:val="000000"/>
                <w:kern w:val="0"/>
                <w:sz w:val="18"/>
                <w:szCs w:val="18"/>
              </w:rPr>
              <w:t>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20.</w:t>
            </w:r>
            <w:r>
              <w:rPr>
                <w:rFonts w:cs="宋体"/>
                <w:color w:val="000000"/>
                <w:kern w:val="0"/>
                <w:sz w:val="18"/>
                <w:szCs w:val="18"/>
              </w:rPr>
              <w:t>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hint="eastAsia" w:cs="宋体"/>
                <w:color w:val="000000"/>
                <w:kern w:val="0"/>
                <w:sz w:val="18"/>
                <w:szCs w:val="18"/>
                <w:lang w:val="en-US" w:eastAsia="zh-CN"/>
              </w:rPr>
              <w:t>13.97</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财政专户管理资金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单位资金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0.00%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27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其他资金</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eastAsia="黑体" w:cs="黑体"/>
                <w:i/>
                <w:color w:val="000000"/>
                <w:sz w:val="18"/>
                <w:szCs w:val="18"/>
              </w:rPr>
            </w:pPr>
          </w:p>
        </w:tc>
      </w:tr>
      <w:tr>
        <w:tblPrEx>
          <w:tblCellMar>
            <w:top w:w="0" w:type="dxa"/>
            <w:left w:w="108" w:type="dxa"/>
            <w:bottom w:w="0" w:type="dxa"/>
            <w:right w:w="108" w:type="dxa"/>
          </w:tblCellMar>
        </w:tblPrEx>
        <w:trPr>
          <w:trHeight w:val="510" w:hRule="atLeast"/>
        </w:trPr>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一级指标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二级指标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三级指标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指标性质</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指标值</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度量单位</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完成值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权重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得分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未完成原因分析</w:t>
            </w:r>
          </w:p>
        </w:tc>
      </w:tr>
      <w:tr>
        <w:tblPrEx>
          <w:tblCellMar>
            <w:top w:w="0" w:type="dxa"/>
            <w:left w:w="108" w:type="dxa"/>
            <w:bottom w:w="0" w:type="dxa"/>
            <w:right w:w="108" w:type="dxa"/>
          </w:tblCellMar>
        </w:tblPrEx>
        <w:trPr>
          <w:trHeight w:val="80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000000"/>
                <w:sz w:val="18"/>
                <w:szCs w:val="18"/>
                <w:lang w:val="en-US" w:eastAsia="zh-CN"/>
              </w:rPr>
            </w:pPr>
            <w:r>
              <w:rPr>
                <w:rFonts w:hint="eastAsia" w:cs="宋体"/>
                <w:color w:val="000000"/>
                <w:sz w:val="18"/>
                <w:szCs w:val="18"/>
                <w:lang w:val="en-US" w:eastAsia="zh-CN"/>
              </w:rPr>
              <w:t>产出指标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质量指标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质量好</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591"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时效指标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在年底完成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好坏</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好</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r>
      <w:tr>
        <w:tblPrEx>
          <w:tblCellMar>
            <w:top w:w="0" w:type="dxa"/>
            <w:left w:w="108" w:type="dxa"/>
            <w:bottom w:w="0" w:type="dxa"/>
            <w:right w:w="108" w:type="dxa"/>
          </w:tblCellMar>
        </w:tblPrEx>
        <w:trPr>
          <w:trHeight w:val="673"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成本指标</w:t>
            </w:r>
          </w:p>
        </w:tc>
        <w:tc>
          <w:tcPr>
            <w:tcW w:w="241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成本不高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万元</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15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效益指标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sz w:val="18"/>
                <w:szCs w:val="18"/>
                <w:lang w:val="en-US" w:eastAsia="zh-CN"/>
              </w:rPr>
              <w:t>促进社会和谐</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80</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765"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经济效益指标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cs="宋体"/>
                <w:color w:val="000000"/>
                <w:sz w:val="18"/>
                <w:szCs w:val="18"/>
                <w:lang w:val="en-US" w:eastAsia="zh-CN"/>
              </w:rPr>
            </w:pPr>
            <w:r>
              <w:rPr>
                <w:rFonts w:hint="eastAsia" w:cs="宋体"/>
                <w:color w:val="000000"/>
                <w:sz w:val="18"/>
                <w:szCs w:val="18"/>
                <w:lang w:val="en-US" w:eastAsia="zh-CN"/>
              </w:rPr>
              <w:t>对财政负担不高</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cs="宋体"/>
                <w:color w:val="000000"/>
                <w:kern w:val="0"/>
                <w:sz w:val="18"/>
                <w:szCs w:val="18"/>
              </w:rPr>
              <w:t>定性</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s="宋体"/>
                <w:color w:val="000000"/>
                <w:kern w:val="0"/>
                <w:sz w:val="18"/>
                <w:szCs w:val="18"/>
                <w:lang w:val="en-US" w:eastAsia="zh-CN"/>
              </w:rPr>
            </w:pPr>
            <w:r>
              <w:rPr>
                <w:rFonts w:hint="eastAsia" w:cs="宋体"/>
                <w:color w:val="000000"/>
                <w:kern w:val="0"/>
                <w:sz w:val="18"/>
                <w:szCs w:val="18"/>
                <w:lang w:val="en-US" w:eastAsia="zh-CN"/>
              </w:rPr>
              <w:t>高低</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kern w:val="0"/>
                <w:sz w:val="18"/>
                <w:szCs w:val="18"/>
              </w:rPr>
            </w:pPr>
            <w:r>
              <w:rPr>
                <w:rFonts w:hint="eastAsia" w:cs="宋体"/>
                <w:color w:val="000000"/>
                <w:kern w:val="0"/>
                <w:sz w:val="18"/>
                <w:szCs w:val="18"/>
                <w:lang w:val="en-US" w:eastAsia="zh-CN"/>
              </w:rPr>
              <w:t>低</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kern w:val="0"/>
                <w:sz w:val="18"/>
                <w:szCs w:val="18"/>
                <w:lang w:val="en-US" w:eastAsia="zh-CN"/>
              </w:rPr>
            </w:pPr>
            <w:r>
              <w:rPr>
                <w:rFonts w:hint="eastAsia" w:cs="宋体"/>
                <w:color w:val="000000"/>
                <w:kern w:val="0"/>
                <w:sz w:val="18"/>
                <w:szCs w:val="18"/>
                <w:lang w:val="en-US" w:eastAsia="zh-CN"/>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510" w:hRule="atLeast"/>
        </w:trPr>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18"/>
                <w:szCs w:val="18"/>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满意度指标</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服务对象满意度指标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社会公众满意度进一步提升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95</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微软雅黑" w:cs="微软雅黑"/>
                <w:i/>
                <w:color w:val="000000"/>
                <w:sz w:val="16"/>
                <w:szCs w:val="16"/>
              </w:rPr>
            </w:pPr>
          </w:p>
        </w:tc>
      </w:tr>
      <w:tr>
        <w:tblPrEx>
          <w:tblCellMar>
            <w:top w:w="0" w:type="dxa"/>
            <w:left w:w="108" w:type="dxa"/>
            <w:bottom w:w="0" w:type="dxa"/>
            <w:right w:w="108" w:type="dxa"/>
          </w:tblCellMar>
        </w:tblPrEx>
        <w:trPr>
          <w:trHeight w:val="270" w:hRule="atLeast"/>
        </w:trPr>
        <w:tc>
          <w:tcPr>
            <w:tcW w:w="76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合计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000000"/>
                <w:sz w:val="18"/>
                <w:szCs w:val="18"/>
                <w:lang w:val="en-US" w:eastAsia="zh-CN"/>
              </w:rPr>
            </w:pPr>
            <w:r>
              <w:rPr>
                <w:rFonts w:hint="eastAsia" w:cs="宋体"/>
                <w:color w:val="000000"/>
                <w:kern w:val="0"/>
                <w:sz w:val="18"/>
                <w:szCs w:val="18"/>
                <w:lang w:val="en-US" w:eastAsia="zh-CN"/>
              </w:rPr>
              <w:t>97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宋体"/>
                <w:color w:val="000000"/>
                <w:sz w:val="18"/>
                <w:szCs w:val="18"/>
              </w:rPr>
            </w:pP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评价结论</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color w:val="000000"/>
                <w:sz w:val="18"/>
                <w:szCs w:val="18"/>
              </w:rPr>
            </w:pPr>
            <w:r>
              <w:rPr>
                <w:rFonts w:hint="eastAsia" w:cs="宋体"/>
                <w:color w:val="000000"/>
                <w:kern w:val="0"/>
                <w:sz w:val="18"/>
                <w:szCs w:val="18"/>
              </w:rPr>
              <w:t>项目执行情况良好，圆满完成各项目标任务，项目自评分得</w:t>
            </w:r>
            <w:r>
              <w:rPr>
                <w:rFonts w:hint="eastAsia" w:cs="宋体"/>
                <w:color w:val="000000"/>
                <w:kern w:val="0"/>
                <w:sz w:val="18"/>
                <w:szCs w:val="18"/>
                <w:lang w:val="en-US" w:eastAsia="zh-CN"/>
              </w:rPr>
              <w:t>97</w:t>
            </w:r>
            <w:r>
              <w:rPr>
                <w:rFonts w:hint="eastAsia" w:cs="宋体"/>
                <w:color w:val="000000"/>
                <w:kern w:val="0"/>
                <w:sz w:val="18"/>
                <w:szCs w:val="18"/>
                <w:lang w:eastAsia="zh-CN"/>
              </w:rPr>
              <w:t>。</w:t>
            </w:r>
            <w:r>
              <w:rPr>
                <w:rFonts w:hint="eastAsia" w:cs="宋体"/>
                <w:color w:val="000000"/>
                <w:kern w:val="0"/>
                <w:sz w:val="18"/>
                <w:szCs w:val="18"/>
              </w:rPr>
              <w:t>圆满完成本辖区内的统战特别对象服务、管理和组织开展活动等工作</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存在问题</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cs="宋体"/>
                <w:color w:val="000000"/>
                <w:sz w:val="18"/>
                <w:szCs w:val="18"/>
                <w:lang w:val="en-US"/>
              </w:rPr>
            </w:pPr>
            <w:r>
              <w:rPr>
                <w:rFonts w:hint="eastAsia" w:cs="宋体"/>
                <w:color w:val="000000"/>
                <w:kern w:val="0"/>
                <w:sz w:val="18"/>
                <w:szCs w:val="18"/>
                <w:lang w:val="en-US" w:eastAsia="zh-CN"/>
              </w:rPr>
              <w:t>预算执行未达到100%</w:t>
            </w:r>
          </w:p>
        </w:tc>
      </w:tr>
      <w:tr>
        <w:tblPrEx>
          <w:tblCellMar>
            <w:top w:w="0" w:type="dxa"/>
            <w:left w:w="108" w:type="dxa"/>
            <w:bottom w:w="0" w:type="dxa"/>
            <w:right w:w="108" w:type="dxa"/>
          </w:tblCellMar>
        </w:tblPrEx>
        <w:trPr>
          <w:trHeight w:val="9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color w:val="000000"/>
                <w:sz w:val="18"/>
                <w:szCs w:val="18"/>
              </w:rPr>
            </w:pPr>
            <w:r>
              <w:rPr>
                <w:rFonts w:cs="宋体"/>
                <w:color w:val="000000"/>
                <w:kern w:val="0"/>
                <w:sz w:val="18"/>
                <w:szCs w:val="18"/>
              </w:rPr>
              <w:t>改进措施</w:t>
            </w:r>
          </w:p>
        </w:tc>
        <w:tc>
          <w:tcPr>
            <w:tcW w:w="86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eastAsia="宋体" w:cs="宋体"/>
                <w:color w:val="000000"/>
                <w:sz w:val="18"/>
                <w:szCs w:val="18"/>
                <w:lang w:val="en-US" w:eastAsia="zh-CN"/>
              </w:rPr>
            </w:pPr>
            <w:r>
              <w:rPr>
                <w:rFonts w:hint="eastAsia" w:cs="宋体"/>
                <w:color w:val="000000"/>
                <w:sz w:val="18"/>
                <w:szCs w:val="18"/>
                <w:lang w:val="en-US" w:eastAsia="zh-CN"/>
              </w:rPr>
              <w:t>下一步将在事中严格控制进度。</w:t>
            </w:r>
          </w:p>
        </w:tc>
      </w:tr>
      <w:tr>
        <w:tblPrEx>
          <w:tblCellMar>
            <w:top w:w="0" w:type="dxa"/>
            <w:left w:w="108" w:type="dxa"/>
            <w:bottom w:w="0" w:type="dxa"/>
            <w:right w:w="108" w:type="dxa"/>
          </w:tblCellMar>
        </w:tblPrEx>
        <w:trPr>
          <w:trHeight w:val="915" w:hRule="atLeast"/>
        </w:trPr>
        <w:tc>
          <w:tcPr>
            <w:tcW w:w="55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项目负责人：</w:t>
            </w:r>
            <w:r>
              <w:rPr>
                <w:rFonts w:hint="eastAsia" w:eastAsia="黑体" w:cs="黑体"/>
                <w:color w:val="000000"/>
                <w:kern w:val="0"/>
                <w:sz w:val="18"/>
                <w:szCs w:val="18"/>
                <w:lang w:val="en-US" w:eastAsia="zh-CN"/>
              </w:rPr>
              <w:t xml:space="preserve"> </w:t>
            </w:r>
          </w:p>
        </w:tc>
        <w:tc>
          <w:tcPr>
            <w:tcW w:w="40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eastAsia="黑体" w:cs="黑体"/>
                <w:color w:val="000000"/>
                <w:sz w:val="18"/>
                <w:szCs w:val="18"/>
                <w:lang w:eastAsia="zh-CN"/>
              </w:rPr>
            </w:pPr>
            <w:r>
              <w:rPr>
                <w:rFonts w:eastAsia="黑体" w:cs="黑体"/>
                <w:color w:val="000000"/>
                <w:kern w:val="0"/>
                <w:sz w:val="18"/>
                <w:szCs w:val="18"/>
              </w:rPr>
              <w:t>财务负责人:</w:t>
            </w:r>
            <w:r>
              <w:rPr>
                <w:rFonts w:hint="eastAsia" w:eastAsia="黑体" w:cs="黑体"/>
                <w:color w:val="000000"/>
                <w:kern w:val="0"/>
                <w:sz w:val="18"/>
                <w:szCs w:val="18"/>
                <w:lang w:val="en-US" w:eastAsia="zh-CN"/>
              </w:rPr>
              <w:t xml:space="preserve"> </w:t>
            </w:r>
          </w:p>
        </w:tc>
      </w:tr>
    </w:tbl>
    <w:p>
      <w:pPr>
        <w:pStyle w:val="8"/>
        <w:rPr>
          <w:rFonts w:hint="eastAsia" w:hAnsi="宋体" w:cs="宋体"/>
          <w:color w:val="auto"/>
          <w:kern w:val="0"/>
          <w:sz w:val="32"/>
          <w:szCs w:val="32"/>
          <w:highlight w:val="none"/>
          <w:shd w:val="clear" w:color="auto" w:fill="FFFFFF"/>
          <w:lang w:val="zh-CN"/>
        </w:rPr>
      </w:pPr>
    </w:p>
    <w:p>
      <w:pPr>
        <w:pStyle w:val="9"/>
        <w:rPr>
          <w:rFonts w:hint="eastAsia"/>
          <w:lang w:val="zh-CN"/>
        </w:rPr>
      </w:pPr>
    </w:p>
    <w:p>
      <w:pPr>
        <w:rPr>
          <w:rFonts w:hint="eastAsia" w:ascii="Times New Roman" w:hAnsi="Times New Roman" w:eastAsia="黑体" w:cs="Times New Roman"/>
          <w:sz w:val="32"/>
          <w:szCs w:val="32"/>
          <w:lang w:val="zh-CN"/>
        </w:rPr>
      </w:pPr>
      <w:r>
        <w:rPr>
          <w:rFonts w:hint="eastAsia" w:ascii="Times New Roman" w:hAnsi="Times New Roman" w:eastAsia="黑体" w:cs="Times New Roman"/>
          <w:sz w:val="32"/>
          <w:szCs w:val="32"/>
          <w:lang w:val="zh-CN"/>
        </w:rPr>
        <w:br w:type="page"/>
      </w:r>
    </w:p>
    <w:p>
      <w:pPr>
        <w:spacing w:line="58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zh-CN"/>
        </w:rPr>
        <w:t>附件</w:t>
      </w:r>
      <w:r>
        <w:rPr>
          <w:rFonts w:hint="eastAsia" w:ascii="Times New Roman" w:hAnsi="Times New Roman" w:eastAsia="黑体" w:cs="Times New Roman"/>
          <w:sz w:val="32"/>
          <w:szCs w:val="32"/>
          <w:lang w:val="en-US" w:eastAsia="zh-CN"/>
        </w:rPr>
        <w:t>2</w:t>
      </w: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方正小标宋简体" w:cs="Times New Roman"/>
          <w:color w:val="auto"/>
          <w:kern w:val="2"/>
          <w:sz w:val="44"/>
          <w:szCs w:val="44"/>
          <w:lang w:val="en-US" w:eastAsia="zh-CN" w:bidi="ar-SA"/>
        </w:rPr>
      </w:pP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中共广安市广安区委统战部</w:t>
      </w: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Times New Roman" w:hAnsi="Times New Roman" w:eastAsia="方正小标宋简体" w:cs="Times New Roman"/>
          <w:color w:val="auto"/>
          <w:kern w:val="2"/>
          <w:sz w:val="44"/>
          <w:szCs w:val="44"/>
          <w:lang w:val="en-US" w:eastAsia="zh-CN" w:bidi="ar-SA"/>
        </w:rPr>
        <w:t>2022</w:t>
      </w:r>
      <w:bookmarkStart w:id="81" w:name="_GoBack"/>
      <w:bookmarkEnd w:id="81"/>
      <w:r>
        <w:rPr>
          <w:rFonts w:hint="eastAsia" w:ascii="Times New Roman" w:hAnsi="Times New Roman" w:eastAsia="方正小标宋简体" w:cs="Times New Roman"/>
          <w:color w:val="auto"/>
          <w:kern w:val="2"/>
          <w:sz w:val="44"/>
          <w:szCs w:val="44"/>
          <w:lang w:val="en-US" w:eastAsia="zh-CN" w:bidi="ar-SA"/>
        </w:rPr>
        <w:t>年省级专项资金（少数民族发展任务）预算项目绩效自评报告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为完整准确全面把握习近平总书记关于加强和改进民族工作的重要思想和中央、省委民族工作会议精神，以改善民生、凝聚人心的意义，促进各民族广泛交往交流交融，按照《国家民委办公厅关于进一步加强中央财政衔接推进乡村振兴补助资金（少数民族发展任务）使用管理的通知》有关要求，少数民族发展任务资金主要聚焦支持民族自治地方和民族乡村，以扩大就业、增加群众收入、发展壮大村级集体经济为着力点，支持民族地区发展、少数民族特色产业和民族村寨发展等。</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聚焦支持民族自治地方和民族乡村，以扩大就业、增加群众收入、发展壮大村级集体经济为着力点，支持民族地区发展、少数民族特色产业和民族村寨发展等。</w:t>
      </w:r>
      <w:r>
        <w:rPr>
          <w:rFonts w:hint="eastAsia" w:ascii="Times New Roman" w:hAnsi="Times New Roman" w:eastAsia="方正仿宋_GBK" w:cs="Times New Roman"/>
          <w:sz w:val="32"/>
          <w:szCs w:val="32"/>
          <w:lang w:val="zh-CN" w:eastAsia="zh-CN"/>
        </w:rPr>
        <w:t>该项目符合少数民族发展任务资金使用的范围和重点，项目较为合理，可行性强，具有现实需求和社会效益。</w:t>
      </w:r>
      <w:r>
        <w:rPr>
          <w:rFonts w:hint="eastAsia" w:ascii="Times New Roman" w:hAnsi="Times New Roman" w:eastAsia="方正仿宋_GBK" w:cs="Times New Roman"/>
          <w:sz w:val="32"/>
          <w:szCs w:val="32"/>
          <w:lang w:val="en-US" w:eastAsia="zh-CN"/>
        </w:rPr>
        <w:t>该项目成本主要用于安装技术设备和其他附属配套设施等。</w:t>
      </w:r>
      <w:r>
        <w:rPr>
          <w:rFonts w:hint="eastAsia" w:ascii="Times New Roman" w:hAnsi="Times New Roman" w:eastAsia="方正仿宋_GBK" w:cs="Times New Roman"/>
          <w:sz w:val="32"/>
          <w:szCs w:val="32"/>
          <w:lang w:val="zh-CN" w:eastAsia="zh-CN"/>
        </w:rPr>
        <w:t>绩效目标和绩效指标可考核量化，契合政策和项目实质，产出和效果相关联，满意度指标达到</w:t>
      </w:r>
      <w:r>
        <w:rPr>
          <w:rFonts w:hint="eastAsia" w:ascii="Times New Roman" w:hAnsi="Times New Roman" w:eastAsia="方正仿宋_GBK" w:cs="Times New Roman"/>
          <w:sz w:val="32"/>
          <w:szCs w:val="32"/>
          <w:lang w:val="en-US" w:eastAsia="zh-CN"/>
        </w:rPr>
        <w:t>95%以上。</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对专项业务经费编制了绩效目标，在资金使用过程中，严格按照计划实施，并严格按规章制度加强对项目的跟踪管理，对绩效考核结果进行沟通反馈并编写绩效评价自评报告。</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zh-CN" w:eastAsia="zh-CN"/>
        </w:rPr>
        <w:t>《国家民委办公厅关于进一步加强中央财政衔接推进乡村振兴补助资金（少数民族发展任务）使用管理的通知》有关要求，区委统战部向区财政局申报</w:t>
      </w:r>
      <w:r>
        <w:rPr>
          <w:rFonts w:hint="eastAsia"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zh-CN" w:eastAsia="zh-CN"/>
        </w:rPr>
        <w:t>万元经费，批复预算</w:t>
      </w:r>
      <w:r>
        <w:rPr>
          <w:rFonts w:hint="eastAsia"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zh-CN" w:eastAsia="zh-CN"/>
        </w:rPr>
        <w:t>万元。</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zh-CN" w:eastAsia="zh-CN"/>
        </w:rPr>
        <w:t>资金计划。全年经费计划</w:t>
      </w:r>
      <w:r>
        <w:rPr>
          <w:rFonts w:hint="eastAsia"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zh-CN" w:eastAsia="zh-CN"/>
        </w:rPr>
        <w:t>万元。</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2.资金到位。</w:t>
      </w:r>
      <w:r>
        <w:rPr>
          <w:rFonts w:hint="eastAsia" w:ascii="Times New Roman" w:hAnsi="Times New Roman" w:eastAsia="方正仿宋_GBK" w:cs="Times New Roman"/>
          <w:sz w:val="32"/>
          <w:szCs w:val="32"/>
          <w:lang w:val="zh-CN" w:eastAsia="zh-CN"/>
        </w:rPr>
        <w:t>资金及时到位</w:t>
      </w:r>
      <w:r>
        <w:rPr>
          <w:rFonts w:hint="eastAsia" w:ascii="Times New Roman" w:hAnsi="Times New Roman" w:eastAsia="方正仿宋_GBK" w:cs="Times New Roman"/>
          <w:sz w:val="32"/>
          <w:szCs w:val="32"/>
          <w:lang w:val="en-US" w:eastAsia="zh-CN"/>
        </w:rPr>
        <w:t>100</w:t>
      </w:r>
      <w:r>
        <w:rPr>
          <w:rFonts w:hint="eastAsia" w:ascii="Times New Roman" w:hAnsi="Times New Roman" w:eastAsia="方正仿宋_GBK" w:cs="Times New Roman"/>
          <w:sz w:val="32"/>
          <w:szCs w:val="32"/>
          <w:lang w:val="zh-CN" w:eastAsia="zh-CN"/>
        </w:rPr>
        <w:t>万元，</w:t>
      </w:r>
      <w:r>
        <w:rPr>
          <w:rFonts w:hint="eastAsia" w:ascii="Times New Roman" w:hAnsi="Times New Roman" w:eastAsia="方正仿宋_GBK" w:cs="Times New Roman"/>
          <w:sz w:val="32"/>
          <w:szCs w:val="32"/>
          <w:lang w:val="en-US" w:eastAsia="zh-CN"/>
        </w:rPr>
        <w:t>到位率100%。</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zh-CN" w:eastAsia="zh-CN"/>
        </w:rPr>
        <w:t>资金使用。资金开支主要涉及范围为：</w:t>
      </w:r>
      <w:r>
        <w:rPr>
          <w:rFonts w:hint="eastAsia" w:ascii="Times New Roman" w:hAnsi="Times New Roman" w:eastAsia="方正仿宋_GBK" w:cs="Times New Roman"/>
          <w:sz w:val="32"/>
          <w:szCs w:val="32"/>
          <w:lang w:val="en-US" w:eastAsia="zh-CN"/>
        </w:rPr>
        <w:t>大龙镇战斗村蔬菜大棚育苗基地项目。</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Times New Roman" w:hAnsi="Times New Roman" w:eastAsia="方正仿宋_GBK" w:cs="Times New Roman"/>
          <w:sz w:val="32"/>
          <w:szCs w:val="32"/>
          <w:lang w:val="zh-CN" w:eastAsia="zh-CN"/>
        </w:rPr>
        <w:t>严格按照拟定的财务管理制度执行，做到专人专管，及时处理，建立严格的资产管理责任制，将资产管理责任落实到人，明确管理职责，加强监督力度，提高项目建设质量。</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kinsoku/>
        <w:wordWrap/>
        <w:overflowPunct/>
        <w:topLinePunct w:val="0"/>
        <w:autoSpaceDE/>
        <w:autoSpaceDN/>
        <w:bidi w:val="0"/>
        <w:adjustRightInd w:val="0"/>
        <w:snapToGrid w:val="0"/>
        <w:spacing w:line="590" w:lineRule="exact"/>
        <w:ind w:firstLine="643" w:firstLineChars="200"/>
        <w:textAlignment w:val="auto"/>
        <w:outlineLvl w:val="2"/>
        <w:rPr>
          <w:rFonts w:eastAsia="方正仿宋_GBK"/>
          <w:color w:val="auto"/>
          <w:sz w:val="33"/>
          <w:szCs w:val="33"/>
          <w:shd w:val="clear" w:color="auto" w:fill="FFFFFF"/>
        </w:rPr>
      </w:pPr>
      <w:r>
        <w:rPr>
          <w:rFonts w:hint="eastAsia" w:eastAsia="楷体_GB2312"/>
          <w:b/>
          <w:color w:val="auto"/>
          <w:sz w:val="32"/>
          <w:szCs w:val="32"/>
          <w:lang w:val="zh-CN"/>
        </w:rPr>
        <w:t>（一）项目组织架构及实施流程。</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在年初预算编制阶段，组织相关人员对项目开展了预算事前绩效评估，全部编制了绩效目标，预算执行过程中，对项目开展绩效监控，年终执行完毕后，对项目开展了绩效目标完成情况自评。</w:t>
      </w:r>
    </w:p>
    <w:p>
      <w:pPr>
        <w:keepNext w:val="0"/>
        <w:keepLines w:val="0"/>
        <w:pageBreakBefore w:val="0"/>
        <w:kinsoku/>
        <w:wordWrap/>
        <w:overflowPunct/>
        <w:topLinePunct w:val="0"/>
        <w:autoSpaceDE/>
        <w:autoSpaceDN/>
        <w:bidi w:val="0"/>
        <w:spacing w:line="590" w:lineRule="exact"/>
        <w:ind w:firstLine="643" w:firstLineChars="200"/>
        <w:textAlignment w:val="auto"/>
        <w:rPr>
          <w:rFonts w:hint="eastAsia" w:eastAsia="楷体_GB2312"/>
          <w:b/>
          <w:color w:val="auto"/>
          <w:sz w:val="32"/>
          <w:szCs w:val="32"/>
          <w:lang w:val="zh-CN"/>
        </w:rPr>
      </w:pPr>
      <w:r>
        <w:rPr>
          <w:rFonts w:hint="eastAsia" w:eastAsia="楷体_GB2312"/>
          <w:b/>
          <w:color w:val="auto"/>
          <w:sz w:val="32"/>
          <w:szCs w:val="32"/>
          <w:lang w:val="zh-CN" w:eastAsia="zh-CN"/>
        </w:rPr>
        <w:t>（二）</w:t>
      </w:r>
      <w:r>
        <w:rPr>
          <w:rFonts w:hint="eastAsia" w:eastAsia="楷体_GB2312"/>
          <w:b/>
          <w:color w:val="auto"/>
          <w:sz w:val="32"/>
          <w:szCs w:val="32"/>
          <w:lang w:val="zh-CN"/>
        </w:rPr>
        <w:t>项目管理情况。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严格执行财经纪律有关要求，项目经费专款专用，资金支付合法，支出依据合规，财务报销合理，账务处理及时，会计核算规范，无虚列项目支出、截留挤占挪用、超标准开支，与预算相符。</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outlineLvl w:val="2"/>
        <w:rPr>
          <w:rFonts w:eastAsia="楷体_GB2312"/>
          <w:b/>
          <w:color w:val="auto"/>
          <w:sz w:val="32"/>
          <w:szCs w:val="32"/>
          <w:lang w:val="zh-CN"/>
        </w:rPr>
      </w:pPr>
      <w:r>
        <w:rPr>
          <w:rFonts w:hint="eastAsia" w:eastAsia="楷体_GB2312"/>
          <w:b/>
          <w:color w:val="auto"/>
          <w:sz w:val="32"/>
          <w:szCs w:val="32"/>
          <w:lang w:val="zh-CN"/>
        </w:rPr>
        <w:t>（三）项目监管情况。</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zh-CN" w:eastAsia="zh-CN"/>
        </w:rPr>
        <w:t>建立了严格的财务管理架构，制定了财务报销的流程，制定了维修流程，并严格按照相关规定执行。</w:t>
      </w:r>
    </w:p>
    <w:p>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pStyle w:val="4"/>
        <w:keepNext w:val="0"/>
        <w:keepLines w:val="0"/>
        <w:pageBreakBefore w:val="0"/>
        <w:widowControl/>
        <w:kinsoku/>
        <w:wordWrap/>
        <w:overflowPunct/>
        <w:topLinePunct w:val="0"/>
        <w:autoSpaceDE/>
        <w:autoSpaceDN/>
        <w:bidi w:val="0"/>
        <w:spacing w:before="0" w:after="0" w:line="590" w:lineRule="exact"/>
        <w:ind w:firstLine="663" w:firstLineChars="200"/>
        <w:textAlignment w:val="auto"/>
        <w:rPr>
          <w:rFonts w:hint="eastAsia" w:ascii="Times New Roman" w:hAnsi="Times New Roman" w:eastAsia="方正仿宋_GBK" w:cs="Times New Roman"/>
          <w:b w:val="0"/>
          <w:bCs w:val="0"/>
          <w:kern w:val="2"/>
          <w:sz w:val="32"/>
          <w:szCs w:val="32"/>
          <w:lang w:val="zh-CN" w:eastAsia="zh-CN" w:bidi="ar-SA"/>
        </w:rPr>
      </w:pPr>
      <w:r>
        <w:rPr>
          <w:rStyle w:val="39"/>
          <w:rFonts w:hint="eastAsia" w:ascii="楷体" w:hAnsi="楷体" w:eastAsia="楷体" w:cs="楷体"/>
          <w:b/>
          <w:bCs/>
          <w:color w:val="auto"/>
          <w:sz w:val="33"/>
          <w:szCs w:val="33"/>
          <w:highlight w:val="none"/>
          <w:lang w:val="zh-CN"/>
        </w:rPr>
        <w:t>（一）项目完成情况。</w:t>
      </w:r>
      <w:r>
        <w:rPr>
          <w:rFonts w:hint="eastAsia" w:ascii="Times New Roman" w:hAnsi="Times New Roman" w:eastAsia="方正仿宋_GBK" w:cs="Times New Roman"/>
          <w:b w:val="0"/>
          <w:bCs w:val="0"/>
          <w:kern w:val="2"/>
          <w:sz w:val="32"/>
          <w:szCs w:val="32"/>
          <w:lang w:val="en-US" w:eastAsia="zh-CN" w:bidi="ar-SA"/>
        </w:rPr>
        <w:t>大龙镇战斗村蔬菜大棚育苗基地项目</w:t>
      </w:r>
      <w:r>
        <w:rPr>
          <w:rFonts w:hint="eastAsia" w:ascii="Times New Roman" w:hAnsi="Times New Roman" w:eastAsia="方正仿宋_GBK" w:cs="Times New Roman"/>
          <w:b w:val="0"/>
          <w:bCs w:val="0"/>
          <w:kern w:val="2"/>
          <w:sz w:val="32"/>
          <w:szCs w:val="32"/>
          <w:lang w:val="zh-CN" w:eastAsia="zh-CN" w:bidi="ar-SA"/>
        </w:rPr>
        <w:t>按</w:t>
      </w:r>
      <w:r>
        <w:rPr>
          <w:rFonts w:hint="eastAsia" w:ascii="Times New Roman" w:hAnsi="Times New Roman" w:eastAsia="方正仿宋_GBK" w:cs="Times New Roman"/>
          <w:b w:val="0"/>
          <w:bCs w:val="0"/>
          <w:kern w:val="2"/>
          <w:sz w:val="32"/>
          <w:szCs w:val="32"/>
          <w:lang w:val="en-US" w:eastAsia="zh-CN" w:bidi="ar-SA"/>
        </w:rPr>
        <w:t>照进度完成建设验收</w:t>
      </w:r>
      <w:r>
        <w:rPr>
          <w:rFonts w:hint="eastAsia" w:ascii="Times New Roman" w:hAnsi="Times New Roman" w:eastAsia="方正仿宋_GBK" w:cs="Times New Roman"/>
          <w:b w:val="0"/>
          <w:bCs w:val="0"/>
          <w:kern w:val="2"/>
          <w:sz w:val="32"/>
          <w:szCs w:val="32"/>
          <w:lang w:val="zh-CN" w:eastAsia="zh-CN" w:bidi="ar-SA"/>
        </w:rPr>
        <w:t>，项目不超成本预算。</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Times New Roman" w:hAnsi="Times New Roman" w:eastAsia="方正仿宋_GBK" w:cs="Times New Roman"/>
          <w:b w:val="0"/>
          <w:bCs w:val="0"/>
          <w:kern w:val="2"/>
          <w:sz w:val="32"/>
          <w:szCs w:val="32"/>
          <w:lang w:val="zh-CN" w:eastAsia="zh-CN" w:bidi="ar-SA"/>
        </w:rPr>
      </w:pPr>
      <w:r>
        <w:rPr>
          <w:rFonts w:hint="eastAsia" w:ascii="楷体" w:hAnsi="楷体" w:eastAsia="楷体" w:cs="楷体"/>
          <w:b/>
          <w:bCs/>
          <w:kern w:val="2"/>
          <w:sz w:val="33"/>
          <w:szCs w:val="33"/>
          <w:lang w:val="zh-CN" w:eastAsia="zh-CN" w:bidi="ar-SA"/>
        </w:rPr>
        <w:t>（二）项目效益情况。</w:t>
      </w:r>
      <w:r>
        <w:rPr>
          <w:rFonts w:hint="eastAsia" w:ascii="Times New Roman" w:hAnsi="Times New Roman" w:eastAsia="方正仿宋_GBK" w:cs="Times New Roman"/>
          <w:b w:val="0"/>
          <w:bCs w:val="0"/>
          <w:kern w:val="2"/>
          <w:sz w:val="32"/>
          <w:szCs w:val="32"/>
          <w:lang w:val="en-US" w:eastAsia="zh-CN" w:bidi="ar-SA"/>
        </w:rPr>
        <w:t>发展壮大了大龙镇蔬菜产业，实现少数民族群众的致富增收</w:t>
      </w:r>
      <w:r>
        <w:rPr>
          <w:rFonts w:hint="eastAsia" w:ascii="Times New Roman" w:hAnsi="Times New Roman" w:eastAsia="方正仿宋_GBK" w:cs="Times New Roman"/>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zh-CN" w:eastAsia="zh-CN" w:bidi="ar-SA"/>
        </w:rPr>
        <w:t>项目执行情况整体较好。</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00" w:lineRule="exact"/>
        <w:ind w:firstLine="72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无。</w:t>
      </w:r>
    </w:p>
    <w:p>
      <w:pPr>
        <w:adjustRightInd w:val="0"/>
        <w:snapToGrid w:val="0"/>
        <w:spacing w:line="590" w:lineRule="exact"/>
        <w:ind w:firstLine="720"/>
        <w:rPr>
          <w:rFonts w:hint="eastAsia" w:ascii="Times New Roman" w:hAnsi="Times New Roman" w:eastAsia="方正仿宋_GBK" w:cs="Times New Roman"/>
          <w:b w:val="0"/>
          <w:bCs w:val="0"/>
          <w:kern w:val="2"/>
          <w:sz w:val="32"/>
          <w:szCs w:val="32"/>
          <w:lang w:val="en-US" w:eastAsia="zh-CN" w:bidi="ar-SA"/>
        </w:rPr>
      </w:pPr>
      <w:r>
        <w:rPr>
          <w:rStyle w:val="31"/>
          <w:rFonts w:ascii="黑体" w:hAnsi="黑体" w:eastAsia="黑体"/>
          <w:b w:val="0"/>
          <w:color w:val="auto"/>
          <w:highlight w:val="none"/>
        </w:rPr>
        <w:br w:type="page"/>
      </w:r>
    </w:p>
    <w:p>
      <w:pPr>
        <w:widowControl/>
        <w:jc w:val="left"/>
        <w:rPr>
          <w:rStyle w:val="31"/>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67" w:name="_Toc15396618"/>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65"/>
      <w:bookmarkEnd w:id="67"/>
      <w:bookmarkStart w:id="68"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68"/>
    </w:p>
    <w:p>
      <w:pPr>
        <w:pStyle w:val="5"/>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69"/>
    </w:p>
    <w:p>
      <w:pPr>
        <w:pStyle w:val="5"/>
        <w:rPr>
          <w:rFonts w:ascii="仿宋" w:hAnsi="仿宋" w:eastAsia="仿宋"/>
          <w:color w:val="auto"/>
          <w:highlight w:val="none"/>
        </w:rPr>
      </w:pPr>
      <w:bookmarkStart w:id="70"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70"/>
    </w:p>
    <w:p>
      <w:pPr>
        <w:pStyle w:val="5"/>
        <w:rPr>
          <w:rFonts w:ascii="仿宋" w:hAnsi="仿宋" w:eastAsia="仿宋"/>
          <w:b w:val="0"/>
          <w:color w:val="auto"/>
          <w:highlight w:val="none"/>
        </w:rPr>
      </w:pPr>
      <w:bookmarkStart w:id="71"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71"/>
    </w:p>
    <w:p>
      <w:pPr>
        <w:pStyle w:val="5"/>
        <w:rPr>
          <w:rStyle w:val="32"/>
          <w:rFonts w:ascii="仿宋" w:hAnsi="仿宋" w:eastAsia="仿宋"/>
          <w:b w:val="0"/>
          <w:bCs w:val="0"/>
          <w:color w:val="auto"/>
          <w:highlight w:val="none"/>
        </w:rPr>
      </w:pPr>
      <w:bookmarkStart w:id="72"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72"/>
      <w:bookmarkStart w:id="73" w:name="_Toc15396624"/>
    </w:p>
    <w:p>
      <w:pPr>
        <w:pStyle w:val="5"/>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73"/>
    </w:p>
    <w:p>
      <w:pPr>
        <w:pStyle w:val="5"/>
        <w:rPr>
          <w:rFonts w:ascii="仿宋" w:hAnsi="仿宋" w:eastAsia="仿宋"/>
          <w:color w:val="auto"/>
          <w:highlight w:val="none"/>
        </w:rPr>
      </w:pPr>
      <w:bookmarkStart w:id="74"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74"/>
    </w:p>
    <w:p>
      <w:pPr>
        <w:pStyle w:val="5"/>
        <w:rPr>
          <w:rFonts w:ascii="仿宋" w:hAnsi="仿宋" w:eastAsia="仿宋"/>
          <w:color w:val="auto"/>
          <w:highlight w:val="none"/>
        </w:rPr>
      </w:pPr>
      <w:bookmarkStart w:id="75"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75"/>
    </w:p>
    <w:p>
      <w:pPr>
        <w:pStyle w:val="5"/>
        <w:rPr>
          <w:rFonts w:ascii="仿宋" w:hAnsi="仿宋" w:eastAsia="仿宋"/>
          <w:color w:val="auto"/>
          <w:highlight w:val="none"/>
        </w:rPr>
      </w:pPr>
      <w:bookmarkStart w:id="76"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76"/>
    </w:p>
    <w:p>
      <w:pPr>
        <w:pStyle w:val="5"/>
        <w:rPr>
          <w:rFonts w:hint="eastAsia" w:ascii="仿宋" w:hAnsi="仿宋" w:eastAsia="仿宋"/>
          <w:color w:val="auto"/>
          <w:highlight w:val="none"/>
          <w:lang w:eastAsia="zh-CN"/>
        </w:rPr>
      </w:pPr>
      <w:bookmarkStart w:id="77" w:name="_Toc15396628"/>
      <w:r>
        <w:rPr>
          <w:rStyle w:val="32"/>
          <w:rFonts w:hint="eastAsia" w:ascii="仿宋" w:hAnsi="仿宋" w:eastAsia="仿宋"/>
          <w:b w:val="0"/>
          <w:bCs w:val="0"/>
          <w:color w:val="auto"/>
          <w:highlight w:val="none"/>
        </w:rPr>
        <w:t>十、</w:t>
      </w:r>
      <w:bookmarkEnd w:id="77"/>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r>
        <w:rPr>
          <w:rStyle w:val="32"/>
          <w:rFonts w:hint="eastAsia" w:ascii="仿宋" w:hAnsi="仿宋" w:eastAsia="仿宋"/>
          <w:b w:val="0"/>
          <w:bCs w:val="0"/>
          <w:color w:val="auto"/>
          <w:highlight w:val="none"/>
          <w:lang w:eastAsia="zh-CN"/>
        </w:rPr>
        <w:t>（</w:t>
      </w:r>
      <w:r>
        <w:rPr>
          <w:rStyle w:val="32"/>
          <w:rFonts w:hint="eastAsia" w:ascii="仿宋" w:hAnsi="仿宋" w:eastAsia="仿宋"/>
          <w:b w:val="0"/>
          <w:bCs w:val="0"/>
          <w:color w:val="auto"/>
          <w:highlight w:val="none"/>
          <w:lang w:val="en-US" w:eastAsia="zh-CN"/>
        </w:rPr>
        <w:t>此表无数据</w:t>
      </w:r>
      <w:r>
        <w:rPr>
          <w:rStyle w:val="32"/>
          <w:rFonts w:hint="eastAsia" w:ascii="仿宋" w:hAnsi="仿宋" w:eastAsia="仿宋"/>
          <w:b w:val="0"/>
          <w:bCs w:val="0"/>
          <w:color w:val="auto"/>
          <w:highlight w:val="none"/>
          <w:lang w:eastAsia="zh-CN"/>
        </w:rPr>
        <w:t>）</w:t>
      </w:r>
    </w:p>
    <w:p>
      <w:pPr>
        <w:pStyle w:val="5"/>
        <w:rPr>
          <w:rFonts w:hint="eastAsia" w:ascii="仿宋" w:hAnsi="仿宋" w:eastAsia="仿宋"/>
          <w:color w:val="auto"/>
          <w:highlight w:val="none"/>
          <w:lang w:eastAsia="zh-CN"/>
        </w:rPr>
      </w:pPr>
      <w:bookmarkStart w:id="78" w:name="_Toc15396629"/>
      <w:r>
        <w:rPr>
          <w:rStyle w:val="32"/>
          <w:rFonts w:hint="eastAsia" w:ascii="仿宋" w:hAnsi="仿宋" w:eastAsia="仿宋"/>
          <w:b w:val="0"/>
          <w:bCs w:val="0"/>
          <w:color w:val="auto"/>
          <w:highlight w:val="none"/>
        </w:rPr>
        <w:t>十一、</w:t>
      </w:r>
      <w:bookmarkEnd w:id="78"/>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r>
        <w:rPr>
          <w:rStyle w:val="32"/>
          <w:rFonts w:hint="eastAsia" w:ascii="仿宋" w:hAnsi="仿宋" w:eastAsia="仿宋"/>
          <w:b w:val="0"/>
          <w:bCs w:val="0"/>
          <w:color w:val="auto"/>
          <w:highlight w:val="none"/>
          <w:lang w:eastAsia="zh-CN"/>
        </w:rPr>
        <w:t>（</w:t>
      </w:r>
      <w:r>
        <w:rPr>
          <w:rStyle w:val="32"/>
          <w:rFonts w:hint="eastAsia" w:ascii="仿宋" w:hAnsi="仿宋" w:eastAsia="仿宋"/>
          <w:b w:val="0"/>
          <w:bCs w:val="0"/>
          <w:color w:val="auto"/>
          <w:highlight w:val="none"/>
          <w:lang w:val="en-US" w:eastAsia="zh-CN"/>
        </w:rPr>
        <w:t>此表无数据</w:t>
      </w:r>
      <w:r>
        <w:rPr>
          <w:rStyle w:val="32"/>
          <w:rFonts w:hint="eastAsia" w:ascii="仿宋" w:hAnsi="仿宋" w:eastAsia="仿宋"/>
          <w:b w:val="0"/>
          <w:bCs w:val="0"/>
          <w:color w:val="auto"/>
          <w:highlight w:val="none"/>
          <w:lang w:eastAsia="zh-CN"/>
        </w:rPr>
        <w:t>）</w:t>
      </w:r>
    </w:p>
    <w:p>
      <w:pPr>
        <w:pStyle w:val="5"/>
        <w:rPr>
          <w:rFonts w:hint="eastAsia" w:ascii="仿宋" w:hAnsi="仿宋" w:eastAsia="仿宋"/>
          <w:color w:val="auto"/>
          <w:highlight w:val="none"/>
          <w:lang w:eastAsia="zh-CN"/>
        </w:rPr>
      </w:pPr>
      <w:bookmarkStart w:id="79" w:name="_Toc15396630"/>
      <w:r>
        <w:rPr>
          <w:rStyle w:val="32"/>
          <w:rFonts w:hint="eastAsia" w:ascii="仿宋" w:hAnsi="仿宋" w:eastAsia="仿宋"/>
          <w:b w:val="0"/>
          <w:bCs w:val="0"/>
          <w:color w:val="auto"/>
          <w:highlight w:val="none"/>
        </w:rPr>
        <w:t>十二、</w:t>
      </w:r>
      <w:bookmarkEnd w:id="79"/>
      <w:r>
        <w:rPr>
          <w:rStyle w:val="32"/>
          <w:rFonts w:hint="eastAsia" w:ascii="仿宋" w:hAnsi="仿宋" w:eastAsia="仿宋"/>
          <w:b w:val="0"/>
          <w:bCs w:val="0"/>
          <w:color w:val="auto"/>
          <w:highlight w:val="none"/>
          <w:lang w:eastAsia="zh-CN"/>
        </w:rPr>
        <w:t>国有资本经营预算财政拨款支出决算表（</w:t>
      </w:r>
      <w:r>
        <w:rPr>
          <w:rStyle w:val="32"/>
          <w:rFonts w:hint="eastAsia" w:ascii="仿宋" w:hAnsi="仿宋" w:eastAsia="仿宋"/>
          <w:b w:val="0"/>
          <w:bCs w:val="0"/>
          <w:color w:val="auto"/>
          <w:highlight w:val="none"/>
          <w:lang w:val="en-US" w:eastAsia="zh-CN"/>
        </w:rPr>
        <w:t>此表无数据</w:t>
      </w:r>
      <w:r>
        <w:rPr>
          <w:rStyle w:val="32"/>
          <w:rFonts w:hint="eastAsia" w:ascii="仿宋" w:hAnsi="仿宋" w:eastAsia="仿宋"/>
          <w:b w:val="0"/>
          <w:bCs w:val="0"/>
          <w:color w:val="auto"/>
          <w:highlight w:val="none"/>
          <w:lang w:eastAsia="zh-CN"/>
        </w:rPr>
        <w:t>）</w:t>
      </w:r>
    </w:p>
    <w:p>
      <w:pPr>
        <w:pStyle w:val="5"/>
        <w:rPr>
          <w:rFonts w:hint="eastAsia" w:eastAsia="仿宋"/>
          <w:color w:val="auto"/>
          <w:highlight w:val="none"/>
          <w:lang w:eastAsia="zh-CN"/>
        </w:rPr>
      </w:pPr>
      <w:bookmarkStart w:id="80" w:name="_Toc15396631"/>
      <w:r>
        <w:rPr>
          <w:rStyle w:val="32"/>
          <w:rFonts w:hint="eastAsia" w:ascii="仿宋" w:hAnsi="仿宋" w:eastAsia="仿宋"/>
          <w:b w:val="0"/>
          <w:bCs w:val="0"/>
          <w:color w:val="auto"/>
          <w:highlight w:val="none"/>
        </w:rPr>
        <w:t>十三、</w:t>
      </w:r>
      <w:bookmarkEnd w:id="80"/>
      <w:r>
        <w:rPr>
          <w:rStyle w:val="32"/>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WM3YzhmODE0YTdiNjY4ODNkYWUxOTM2YmQ5MmQifQ=="/>
    <w:docVar w:name="KSO_WPS_MARK_KEY" w:val="97e78559-d4d7-4acf-8633-4318c49078ac"/>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1C6C"/>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9506613"/>
    <w:rsid w:val="0A2032A3"/>
    <w:rsid w:val="0A4A45F5"/>
    <w:rsid w:val="0F98263C"/>
    <w:rsid w:val="101860EC"/>
    <w:rsid w:val="10C055FF"/>
    <w:rsid w:val="118107EC"/>
    <w:rsid w:val="13D50BC4"/>
    <w:rsid w:val="160E1FFD"/>
    <w:rsid w:val="16BB723D"/>
    <w:rsid w:val="199D3F96"/>
    <w:rsid w:val="1BE8440E"/>
    <w:rsid w:val="1BFC55C3"/>
    <w:rsid w:val="1D155CEE"/>
    <w:rsid w:val="1FF35744"/>
    <w:rsid w:val="20A07248"/>
    <w:rsid w:val="23860B96"/>
    <w:rsid w:val="240371BF"/>
    <w:rsid w:val="28BA7F95"/>
    <w:rsid w:val="29FD04D3"/>
    <w:rsid w:val="2B26201B"/>
    <w:rsid w:val="2B3E2739"/>
    <w:rsid w:val="2BF20C48"/>
    <w:rsid w:val="2C8A61B5"/>
    <w:rsid w:val="2DC32A6C"/>
    <w:rsid w:val="2DF04E50"/>
    <w:rsid w:val="2F040D46"/>
    <w:rsid w:val="31912879"/>
    <w:rsid w:val="319F7F4E"/>
    <w:rsid w:val="3304709D"/>
    <w:rsid w:val="345356AF"/>
    <w:rsid w:val="36171D43"/>
    <w:rsid w:val="36AA5135"/>
    <w:rsid w:val="376D39B2"/>
    <w:rsid w:val="37A61390"/>
    <w:rsid w:val="37E16F03"/>
    <w:rsid w:val="38D469F0"/>
    <w:rsid w:val="3B2F7F79"/>
    <w:rsid w:val="3B7C6C0C"/>
    <w:rsid w:val="3D98207C"/>
    <w:rsid w:val="3E78745D"/>
    <w:rsid w:val="3E7B28C6"/>
    <w:rsid w:val="44E268DA"/>
    <w:rsid w:val="45820EAC"/>
    <w:rsid w:val="4A627F82"/>
    <w:rsid w:val="4B0E749A"/>
    <w:rsid w:val="4B217D5B"/>
    <w:rsid w:val="4B4F25DA"/>
    <w:rsid w:val="4BE068DB"/>
    <w:rsid w:val="4C700010"/>
    <w:rsid w:val="4D577224"/>
    <w:rsid w:val="4EAB630A"/>
    <w:rsid w:val="4ECE2238"/>
    <w:rsid w:val="50357BD8"/>
    <w:rsid w:val="52582A44"/>
    <w:rsid w:val="537E6D0A"/>
    <w:rsid w:val="54AA6439"/>
    <w:rsid w:val="5913120A"/>
    <w:rsid w:val="5A733FFA"/>
    <w:rsid w:val="5AF92295"/>
    <w:rsid w:val="5CD71FC4"/>
    <w:rsid w:val="5D9945F9"/>
    <w:rsid w:val="6171519E"/>
    <w:rsid w:val="67CE0D95"/>
    <w:rsid w:val="687C1F6A"/>
    <w:rsid w:val="6AD65C60"/>
    <w:rsid w:val="6BF57F88"/>
    <w:rsid w:val="6C4A05C8"/>
    <w:rsid w:val="6D03720F"/>
    <w:rsid w:val="6E7E3605"/>
    <w:rsid w:val="6FF5CC65"/>
    <w:rsid w:val="715C0E4B"/>
    <w:rsid w:val="72734D90"/>
    <w:rsid w:val="73984710"/>
    <w:rsid w:val="73AD73D5"/>
    <w:rsid w:val="73B6EB34"/>
    <w:rsid w:val="744731E5"/>
    <w:rsid w:val="74F141CA"/>
    <w:rsid w:val="76E3355F"/>
    <w:rsid w:val="778769C8"/>
    <w:rsid w:val="78D95BE0"/>
    <w:rsid w:val="79EE5BA4"/>
    <w:rsid w:val="7A894339"/>
    <w:rsid w:val="7AFE024B"/>
    <w:rsid w:val="7D7858DB"/>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Normal Indent"/>
    <w:basedOn w:val="1"/>
    <w:qFormat/>
    <w:uiPriority w:val="99"/>
    <w:pPr>
      <w:ind w:firstLine="420" w:firstLineChars="200"/>
    </w:pPr>
  </w:style>
  <w:style w:type="paragraph" w:styleId="8">
    <w:name w:val="Body Text"/>
    <w:basedOn w:val="1"/>
    <w:next w:val="9"/>
    <w:link w:val="28"/>
    <w:qFormat/>
    <w:uiPriority w:val="99"/>
    <w:pPr>
      <w:spacing w:beforeLines="30"/>
    </w:pPr>
    <w:rPr>
      <w:rFonts w:ascii="仿宋_GB2312" w:eastAsia="仿宋_GB2312"/>
      <w:kern w:val="0"/>
      <w:sz w:val="30"/>
    </w:rPr>
  </w:style>
  <w:style w:type="paragraph" w:customStyle="1" w:styleId="9">
    <w:name w:val="附件标题-1"/>
    <w:next w:val="1"/>
    <w:qFormat/>
    <w:uiPriority w:val="99"/>
    <w:pPr>
      <w:widowControl w:val="0"/>
      <w:spacing w:beforeLines="50" w:afterLines="50"/>
      <w:jc w:val="center"/>
    </w:pPr>
    <w:rPr>
      <w:rFonts w:ascii="Times New Roman" w:hAnsi="Times New Roman" w:eastAsia="黑体" w:cs="Times New Roman"/>
      <w:kern w:val="2"/>
      <w:sz w:val="21"/>
      <w:szCs w:val="24"/>
      <w:lang w:val="en-US" w:eastAsia="zh-CN" w:bidi="ar-SA"/>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rPr>
      <w:sz w:val="24"/>
    </w:rPr>
  </w:style>
  <w:style w:type="paragraph" w:styleId="17">
    <w:name w:val="Title"/>
    <w:basedOn w:val="1"/>
    <w:next w:val="1"/>
    <w:qFormat/>
    <w:uiPriority w:val="0"/>
    <w:pPr>
      <w:widowControl w:val="0"/>
      <w:jc w:val="both"/>
      <w:outlineLvl w:val="0"/>
    </w:pPr>
    <w:rPr>
      <w:rFonts w:ascii="Arial" w:hAnsi="Arial" w:eastAsia="宋体" w:cs="Arial"/>
      <w:bCs/>
      <w:kern w:val="2"/>
      <w:sz w:val="21"/>
      <w:szCs w:val="32"/>
      <w:lang w:val="en-US" w:eastAsia="zh-CN" w:bidi="ar-SA"/>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8"/>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正文_0"/>
    <w:next w:val="8"/>
    <w:qFormat/>
    <w:uiPriority w:val="99"/>
    <w:pPr>
      <w:widowControl w:val="0"/>
      <w:spacing w:line="360" w:lineRule="auto"/>
      <w:ind w:firstLine="200" w:firstLineChars="200"/>
      <w:jc w:val="both"/>
    </w:pPr>
    <w:rPr>
      <w:rFonts w:ascii="宋体" w:hAnsi="Times New Roman" w:eastAsia="宋体" w:cs="宋体"/>
      <w:kern w:val="2"/>
      <w:sz w:val="24"/>
      <w:szCs w:val="24"/>
      <w:lang w:val="en-US" w:eastAsia="zh-CN" w:bidi="ar-SA"/>
    </w:rPr>
  </w:style>
  <w:style w:type="character" w:customStyle="1" w:styleId="39">
    <w:name w:val="wzzb1"/>
    <w:basedOn w:val="19"/>
    <w:qFormat/>
    <w:uiPriority w:val="99"/>
    <w:rPr>
      <w:rFonts w:cs="Times New Roman"/>
      <w:color w:val="363636"/>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yt\&#36130;&#21153;\2021&#20915;&#31639;\2021&#24180;&#21306;&#22996;&#32479;&#25112;&#37096;&#37096;&#38376;&#20915;&#31639;&#20844;&#24320;&#25253;&#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'[2021年区委统战部部门决算公开报表.XLS]Z03 支出决算表(财决公开03表)'!$N$16</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'[2021年区委统战部部门决算公开报表.XLS]Z03 支出决算表(财决公开03表)'!$M$17:$M$18</c:f>
              <c:numCache>
                <c:formatCode>General</c:formatCode>
                <c:ptCount val="2"/>
                <c:pt idx="0">
                  <c:v>2021</c:v>
                </c:pt>
                <c:pt idx="1">
                  <c:v>2022</c:v>
                </c:pt>
              </c:numCache>
            </c:numRef>
          </c:cat>
          <c:val>
            <c:numRef>
              <c:f>'[2021年区委统战部部门决算公开报表.XLS]Z03 支出决算表(财决公开03表)'!$N$17:$N$18</c:f>
              <c:numCache>
                <c:formatCode>General</c:formatCode>
                <c:ptCount val="2"/>
                <c:pt idx="0">
                  <c:v>698.83</c:v>
                </c:pt>
                <c:pt idx="1">
                  <c:v>1073.2</c:v>
                </c:pt>
              </c:numCache>
            </c:numRef>
          </c:val>
        </c:ser>
        <c:dLbls>
          <c:showLegendKey val="0"/>
          <c:showVal val="1"/>
          <c:showCatName val="0"/>
          <c:showSerName val="0"/>
          <c:showPercent val="0"/>
          <c:showBubbleSize val="0"/>
        </c:dLbls>
        <c:gapWidth val="219"/>
        <c:overlap val="-27"/>
        <c:axId val="341335942"/>
        <c:axId val="859827878"/>
      </c:barChart>
      <c:catAx>
        <c:axId val="341335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827878"/>
        <c:crosses val="autoZero"/>
        <c:auto val="1"/>
        <c:lblAlgn val="ctr"/>
        <c:lblOffset val="100"/>
        <c:noMultiLvlLbl val="0"/>
      </c:catAx>
      <c:valAx>
        <c:axId val="85982787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335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40</Pages>
  <Words>15073</Words>
  <Characters>16263</Characters>
  <Lines>61</Lines>
  <Paragraphs>17</Paragraphs>
  <TotalTime>2</TotalTime>
  <ScaleCrop>false</ScaleCrop>
  <LinksUpToDate>false</LinksUpToDate>
  <CharactersWithSpaces>16881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2024-10-22T08:10:20Z</cp:lastPrinted>
  <dcterms:modified xsi:type="dcterms:W3CDTF">2024-10-22T08:35:19Z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1E62DE98B17745BF9F8DFBC4BC78F0D7_12</vt:lpwstr>
  </property>
</Properties>
</file>