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eastAsia="zh-CN"/>
        </w:rPr>
        <w:t>广安市广安区行政审批局</w:t>
      </w:r>
      <w:r>
        <w:rPr>
          <w:rFonts w:hint="eastAsia" w:ascii="Times New Roman" w:hAnsi="Times New Roman" w:eastAsia="方正小标宋_GBK" w:cs="Times New Roman"/>
          <w:sz w:val="44"/>
          <w:szCs w:val="44"/>
          <w:highlight w:val="none"/>
          <w:lang w:val="en-US" w:eastAsia="zh-CN"/>
        </w:rPr>
        <w:t>2024</w:t>
      </w:r>
      <w:r>
        <w:rPr>
          <w:rFonts w:hint="default" w:ascii="Times New Roman" w:hAnsi="Times New Roman" w:eastAsia="方正小标宋_GBK" w:cs="Times New Roman"/>
          <w:sz w:val="44"/>
          <w:szCs w:val="44"/>
          <w:highlight w:val="none"/>
        </w:rPr>
        <w:t>年部门预算</w:t>
      </w:r>
    </w:p>
    <w:p>
      <w:pPr>
        <w:ind w:firstLine="3520" w:firstLineChars="800"/>
        <w:jc w:val="left"/>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广安市广安区行政审批局</w:t>
      </w:r>
      <w:r>
        <w:rPr>
          <w:rFonts w:hint="default" w:ascii="Times New Roman" w:hAnsi="Times New Roman" w:eastAsia="黑体" w:cs="Times New Roman"/>
          <w:kern w:val="0"/>
          <w:sz w:val="32"/>
          <w:szCs w:val="32"/>
          <w:highlight w:val="none"/>
          <w:lang w:val="en-US" w:eastAsia="zh-CN" w:bidi="ar"/>
        </w:rPr>
        <w:t>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广安市广安区行政审批局</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spacing w:val="-6"/>
          <w:kern w:val="0"/>
          <w:sz w:val="32"/>
          <w:szCs w:val="32"/>
          <w:highlight w:val="none"/>
          <w:lang w:val="en-US" w:eastAsia="zh-CN" w:bidi="ar"/>
        </w:rPr>
        <w:t>广安市广安区行政审批局</w:t>
      </w:r>
      <w:r>
        <w:rPr>
          <w:rFonts w:hint="default" w:ascii="Times New Roman" w:hAnsi="Times New Roman" w:eastAsia="黑体" w:cs="Times New Roman"/>
          <w:spacing w:val="-6"/>
          <w:kern w:val="0"/>
          <w:sz w:val="32"/>
          <w:szCs w:val="32"/>
          <w:highlight w:val="none"/>
          <w:lang w:val="en-US" w:eastAsia="zh-CN" w:bidi="ar"/>
        </w:rPr>
        <w:t>202</w:t>
      </w:r>
      <w:r>
        <w:rPr>
          <w:rFonts w:hint="eastAsia" w:ascii="Times New Roman" w:hAnsi="Times New Roman" w:eastAsia="黑体" w:cs="Times New Roman"/>
          <w:spacing w:val="-6"/>
          <w:kern w:val="0"/>
          <w:sz w:val="32"/>
          <w:szCs w:val="32"/>
          <w:highlight w:val="none"/>
          <w:lang w:val="en-US" w:eastAsia="zh-CN" w:bidi="ar"/>
        </w:rPr>
        <w:t>4</w:t>
      </w:r>
      <w:r>
        <w:rPr>
          <w:rFonts w:hint="default" w:ascii="Times New Roman" w:hAnsi="Times New Roman" w:eastAsia="黑体" w:cs="Times New Roman"/>
          <w:spacing w:val="-6"/>
          <w:kern w:val="0"/>
          <w:sz w:val="32"/>
          <w:szCs w:val="32"/>
          <w:highlight w:val="none"/>
          <w:lang w:val="en-US" w:eastAsia="zh-CN" w:bidi="ar"/>
        </w:rPr>
        <w:t>年部门预算表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广安市广安区行政审批局概况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7"/>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（一）区行政审批局职能简介。</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1.负责贯彻执行国家、四川省、广安市有关行政审批制度改革的决定，创新和完善相关工作体制机制。</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2.行使相对集中行政许可权，负责集中办理相关行政审批和公共服务等事项。</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3.负责统一组织实施行政审批涉及的现场勘查、技术论证和社会听证等工作。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4.负责清理规范行政审批前置条件；负责对行政审批事项流程进行规范和优化，推进行政审批依法规范公开运行等工作。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5.拟订全区政务服务的制度、办法、标准并组织实施；指导全区政务服务体系标准化建设；负责推进“互联网+政务服务”信息化建设、维护。</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6.负责协调进驻大厅垂管部门行政审批事项和公共服务事项的办理；负责对大厅内行政审批、政务服务行为进行监督检查；负责对大厅内窗口工作人员进行日常监管、教育培训和检查考核。</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7.指导全区乡镇（街道）便民服务中心、村（社区）便民服务代办点建设，参与政务服务工作的监督检查考核。</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8.负责全区政务服务一体化平台管理、监督、指导工作；对全区政务服务相关信息进行公开并提供查询。</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9.负责全区行政效能建设工作。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10.负责相关机构的行政审批制度改革工作。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11.负责开展全区行政权力清理和动态调整，效能建设</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工作，协调并推进政府职能转变、政务服务工作。</w:t>
      </w:r>
    </w:p>
    <w:p>
      <w:pPr>
        <w:numPr>
          <w:ilvl w:val="-1"/>
          <w:numId w:val="0"/>
        </w:num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12.承办区委、区政府交办的其他事项。</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（二）区行政审批局</w:t>
      </w:r>
      <w:r>
        <w:rPr>
          <w:rFonts w:hint="eastAsia" w:ascii="Times New Roman" w:hAnsi="Times New Roman" w:eastAsia="楷体_GB2312" w:cs="Times New Roman"/>
          <w:b/>
          <w:sz w:val="32"/>
          <w:szCs w:val="32"/>
          <w:highlight w:val="none"/>
          <w:lang w:eastAsia="zh-CN"/>
        </w:rPr>
        <w:t>2024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pPr>
        <w:spacing w:line="590" w:lineRule="exact"/>
        <w:ind w:firstLine="643" w:firstLineChars="200"/>
        <w:rPr>
          <w:rFonts w:hint="default" w:ascii="Times New Roman" w:hAnsi="Times New Roman" w:eastAsia="仿宋_GB2312" w:cs="Times New Roman"/>
          <w:b w:val="0"/>
          <w:bCs w:val="0"/>
          <w:spacing w:val="0"/>
          <w:kern w:val="2"/>
          <w:sz w:val="32"/>
          <w:szCs w:val="32"/>
          <w:highlight w:val="none"/>
          <w:lang w:val="en-US" w:eastAsia="zh-CN" w:bidi="ar-SA"/>
        </w:rPr>
      </w:pPr>
      <w:r>
        <w:rPr>
          <w:rFonts w:hint="default" w:ascii="Times New Roman" w:hAnsi="Times New Roman" w:eastAsia="仿宋_GB2312" w:cs="Times New Roman"/>
          <w:b/>
          <w:bCs/>
          <w:sz w:val="32"/>
          <w:szCs w:val="32"/>
          <w:highlight w:val="none"/>
        </w:rPr>
        <w:t>一是</w:t>
      </w:r>
      <w:r>
        <w:rPr>
          <w:rFonts w:hint="default" w:ascii="Times New Roman" w:hAnsi="Times New Roman" w:eastAsia="仿宋_GB2312" w:cs="Times New Roman"/>
          <w:b w:val="0"/>
          <w:bCs w:val="0"/>
          <w:spacing w:val="0"/>
          <w:kern w:val="2"/>
          <w:sz w:val="32"/>
          <w:szCs w:val="32"/>
          <w:highlight w:val="none"/>
          <w:lang w:val="en-US" w:eastAsia="zh-CN" w:bidi="ar-SA"/>
        </w:rPr>
        <w:t>强化党建示范引领。</w:t>
      </w:r>
    </w:p>
    <w:p>
      <w:pPr>
        <w:spacing w:line="590" w:lineRule="exact"/>
        <w:ind w:firstLine="643" w:firstLineChars="200"/>
        <w:rPr>
          <w:rFonts w:hint="default" w:ascii="Times New Roman" w:hAnsi="Times New Roman" w:eastAsia="仿宋_GB2312" w:cs="Times New Roman"/>
          <w:b w:val="0"/>
          <w:bCs w:val="0"/>
          <w:spacing w:val="0"/>
          <w:kern w:val="2"/>
          <w:sz w:val="32"/>
          <w:szCs w:val="32"/>
          <w:highlight w:val="none"/>
          <w:lang w:val="en-US" w:eastAsia="zh-CN" w:bidi="ar-SA"/>
        </w:rPr>
      </w:pPr>
      <w:r>
        <w:rPr>
          <w:rFonts w:hint="default" w:ascii="Times New Roman" w:hAnsi="Times New Roman" w:eastAsia="仿宋_GB2312" w:cs="Times New Roman"/>
          <w:b/>
          <w:bCs/>
          <w:sz w:val="32"/>
          <w:szCs w:val="32"/>
          <w:highlight w:val="none"/>
        </w:rPr>
        <w:t>二是</w:t>
      </w:r>
      <w:r>
        <w:rPr>
          <w:rFonts w:hint="default" w:ascii="Times New Roman" w:hAnsi="Times New Roman" w:eastAsia="仿宋_GB2312" w:cs="Times New Roman"/>
          <w:b w:val="0"/>
          <w:bCs w:val="0"/>
          <w:spacing w:val="0"/>
          <w:kern w:val="2"/>
          <w:sz w:val="32"/>
          <w:szCs w:val="32"/>
          <w:highlight w:val="none"/>
          <w:lang w:val="en-US" w:eastAsia="zh-CN" w:bidi="ar-SA"/>
        </w:rPr>
        <w:t>持续推进相对集中行政许可权改革。</w:t>
      </w:r>
    </w:p>
    <w:p>
      <w:pPr>
        <w:spacing w:line="590" w:lineRule="exact"/>
        <w:ind w:firstLine="643" w:firstLineChars="200"/>
        <w:rPr>
          <w:rFonts w:hint="default" w:ascii="Times New Roman" w:hAnsi="Times New Roman" w:eastAsia="仿宋_GB2312" w:cs="Times New Roman"/>
          <w:b w:val="0"/>
          <w:bCs w:val="0"/>
          <w:spacing w:val="0"/>
          <w:kern w:val="2"/>
          <w:sz w:val="32"/>
          <w:szCs w:val="32"/>
          <w:highlight w:val="none"/>
          <w:lang w:val="en-US" w:eastAsia="zh-CN" w:bidi="ar-SA"/>
        </w:rPr>
      </w:pPr>
      <w:r>
        <w:rPr>
          <w:rFonts w:hint="default" w:ascii="Times New Roman" w:hAnsi="Times New Roman" w:eastAsia="仿宋_GB2312" w:cs="Times New Roman"/>
          <w:b/>
          <w:bCs/>
          <w:sz w:val="32"/>
          <w:szCs w:val="32"/>
          <w:highlight w:val="none"/>
        </w:rPr>
        <w:t>三是</w:t>
      </w:r>
      <w:r>
        <w:rPr>
          <w:rFonts w:hint="default" w:ascii="Times New Roman" w:hAnsi="Times New Roman" w:eastAsia="仿宋_GB2312" w:cs="Times New Roman"/>
          <w:b w:val="0"/>
          <w:bCs w:val="0"/>
          <w:spacing w:val="0"/>
          <w:kern w:val="2"/>
          <w:sz w:val="32"/>
          <w:szCs w:val="32"/>
          <w:highlight w:val="none"/>
          <w:lang w:val="en-US" w:eastAsia="zh-CN" w:bidi="ar-SA"/>
        </w:rPr>
        <w:t>政务服务线上线下深度融合。</w:t>
      </w:r>
    </w:p>
    <w:p>
      <w:pPr>
        <w:spacing w:line="59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四是</w:t>
      </w:r>
      <w:r>
        <w:rPr>
          <w:rFonts w:hint="default" w:ascii="Times New Roman" w:hAnsi="Times New Roman" w:eastAsia="仿宋_GB2312" w:cs="Times New Roman"/>
          <w:b w:val="0"/>
          <w:bCs w:val="0"/>
          <w:spacing w:val="0"/>
          <w:kern w:val="2"/>
          <w:sz w:val="32"/>
          <w:szCs w:val="32"/>
          <w:highlight w:val="none"/>
          <w:lang w:val="en-US" w:eastAsia="zh-CN" w:bidi="ar-SA"/>
        </w:rPr>
        <w:t>打造区、乡、村便民服务</w:t>
      </w:r>
      <w:r>
        <w:rPr>
          <w:rFonts w:hint="default" w:ascii="Times New Roman" w:hAnsi="Times New Roman" w:eastAsia="仿宋_GB2312" w:cs="Times New Roman"/>
          <w:b w:val="0"/>
          <w:bCs w:val="0"/>
          <w:snapToGrid/>
          <w:spacing w:val="0"/>
          <w:sz w:val="32"/>
          <w:szCs w:val="32"/>
          <w:highlight w:val="none"/>
          <w:lang w:val="en-US" w:eastAsia="zh-CN"/>
        </w:rPr>
        <w:t>“一张网”</w:t>
      </w:r>
      <w:r>
        <w:rPr>
          <w:rFonts w:hint="default" w:ascii="Times New Roman" w:hAnsi="Times New Roman" w:eastAsia="仿宋_GB2312" w:cs="Times New Roman"/>
          <w:b w:val="0"/>
          <w:bCs w:val="0"/>
          <w:spacing w:val="0"/>
          <w:kern w:val="2"/>
          <w:sz w:val="32"/>
          <w:szCs w:val="32"/>
          <w:highlight w:val="none"/>
          <w:lang w:val="en-US" w:eastAsia="zh-CN" w:bidi="ar-SA"/>
        </w:rPr>
        <w:t>。</w:t>
      </w:r>
    </w:p>
    <w:p>
      <w:pPr>
        <w:spacing w:line="59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pPr>
        <w:spacing w:line="590" w:lineRule="exact"/>
        <w:ind w:firstLine="640" w:firstLineChars="200"/>
        <w:rPr>
          <w:rFonts w:hint="eastAsia" w:ascii="方正仿宋_GBK" w:hAnsi="方正仿宋_GBK" w:eastAsia="方正仿宋_GBK" w:cs="方正仿宋_GBK"/>
          <w:sz w:val="33"/>
          <w:szCs w:val="33"/>
        </w:rPr>
      </w:pPr>
      <w:r>
        <w:rPr>
          <w:rFonts w:hint="eastAsia" w:ascii="Times New Roman" w:hAnsi="Times New Roman" w:eastAsia="仿宋_GB2312" w:cs="仿宋_GB2312"/>
          <w:sz w:val="32"/>
          <w:highlight w:val="none"/>
        </w:rPr>
        <w:t>区行政审批局无下属二级预算单位</w:t>
      </w:r>
      <w:r>
        <w:rPr>
          <w:rFonts w:hint="eastAsia" w:ascii="Times New Roman" w:hAnsi="Times New Roman" w:eastAsia="仿宋_GB2312" w:cs="仿宋_GB2312"/>
          <w:sz w:val="32"/>
          <w:highlight w:val="none"/>
          <w:lang w:eastAsia="zh-CN"/>
        </w:rPr>
        <w:t>，</w:t>
      </w:r>
      <w:r>
        <w:rPr>
          <w:rFonts w:hint="eastAsia" w:ascii="Times New Roman" w:hAnsi="Times New Roman" w:eastAsia="仿宋_GB2312" w:cs="仿宋_GB2312"/>
          <w:sz w:val="32"/>
          <w:highlight w:val="none"/>
        </w:rPr>
        <w:t>下设区行政审批综合服务中心，属事业单位。</w:t>
      </w:r>
      <w:r>
        <w:rPr>
          <w:rFonts w:hint="eastAsia" w:ascii="方正仿宋_GBK" w:hAnsi="方正仿宋_GBK" w:eastAsia="方正仿宋_GBK" w:cs="方正仿宋_GBK"/>
          <w:sz w:val="33"/>
          <w:szCs w:val="33"/>
        </w:rPr>
        <w:t>纳入区</w:t>
      </w:r>
      <w:r>
        <w:rPr>
          <w:rFonts w:hint="eastAsia" w:ascii="方正仿宋_GBK" w:hAnsi="方正仿宋_GBK" w:eastAsia="方正仿宋_GBK" w:cs="方正仿宋_GBK"/>
          <w:sz w:val="33"/>
          <w:szCs w:val="33"/>
          <w:lang w:eastAsia="zh-CN"/>
        </w:rPr>
        <w:t>行政审批</w:t>
      </w:r>
      <w:r>
        <w:rPr>
          <w:rFonts w:hint="eastAsia" w:ascii="Times New Roman" w:hAnsi="Times New Roman" w:eastAsia="仿宋_GB2312" w:cstheme="minorBidi"/>
          <w:sz w:val="32"/>
          <w:szCs w:val="32"/>
          <w:highlight w:val="none"/>
          <w:lang w:eastAsia="zh-CN"/>
        </w:rPr>
        <w:t>局202</w:t>
      </w:r>
      <w:r>
        <w:rPr>
          <w:rFonts w:hint="eastAsia" w:ascii="Times New Roman" w:hAnsi="Times New Roman" w:eastAsia="仿宋_GB2312" w:cstheme="minorBidi"/>
          <w:sz w:val="32"/>
          <w:szCs w:val="32"/>
          <w:highlight w:val="none"/>
          <w:lang w:val="en-US" w:eastAsia="zh-CN"/>
        </w:rPr>
        <w:t>4</w:t>
      </w:r>
      <w:r>
        <w:rPr>
          <w:rFonts w:hint="eastAsia" w:ascii="方正仿宋_GBK" w:hAnsi="方正仿宋_GBK" w:eastAsia="方正仿宋_GBK" w:cs="方正仿宋_GBK"/>
          <w:sz w:val="33"/>
          <w:szCs w:val="33"/>
        </w:rPr>
        <w:t>年部门</w:t>
      </w:r>
      <w:r>
        <w:rPr>
          <w:rFonts w:hint="eastAsia" w:ascii="方正仿宋_GBK" w:hAnsi="方正仿宋_GBK" w:eastAsia="方正仿宋_GBK" w:cs="方正仿宋_GBK"/>
          <w:sz w:val="33"/>
          <w:szCs w:val="33"/>
          <w:lang w:eastAsia="zh-CN"/>
        </w:rPr>
        <w:t>预算</w:t>
      </w:r>
      <w:r>
        <w:rPr>
          <w:rFonts w:hint="eastAsia" w:ascii="方正仿宋_GBK" w:hAnsi="方正仿宋_GBK" w:eastAsia="方正仿宋_GBK" w:cs="方正仿宋_GBK"/>
          <w:sz w:val="33"/>
          <w:szCs w:val="33"/>
        </w:rPr>
        <w:t>编制范围。</w:t>
      </w:r>
    </w:p>
    <w:p>
      <w:pPr>
        <w:spacing w:line="59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区行政审批局共设有9个股室（办公室、政务服务股、现场勘查股、政策法规监督管理股、商事登记审批股、投资建设审批股、涉农事务审批股、社会事务审批股、文教卫审批股），区行政审批综合服务中心共设有3个股室（营商服务股、电子政务保障股、档案管理股）。</w:t>
      </w:r>
    </w:p>
    <w:p>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广安市广安区行政审批局2024年部门预算情况说明</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区行政审批局</w:t>
      </w:r>
      <w:r>
        <w:rPr>
          <w:rFonts w:hint="default" w:ascii="Times New Roman" w:hAnsi="Times New Roman" w:eastAsia="仿宋_GB2312" w:cs="Times New Roman"/>
          <w:sz w:val="32"/>
          <w:szCs w:val="32"/>
          <w:highlight w:val="none"/>
        </w:rPr>
        <w:t>所有收入和支出均纳入部门预算管理。收入包括：一般公共预算拨款收入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支出包括：一般公共服务支出、</w:t>
      </w:r>
      <w:r>
        <w:rPr>
          <w:rFonts w:hint="eastAsia" w:ascii="Times New Roman" w:hAnsi="Times New Roman" w:eastAsia="仿宋_GB2312" w:cs="Times New Roman"/>
          <w:sz w:val="32"/>
          <w:szCs w:val="32"/>
          <w:highlight w:val="none"/>
          <w:lang w:eastAsia="zh-CN"/>
        </w:rPr>
        <w:t>社会保障和就业支出、卫生健康支出、住房保障支出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lang w:val="en-US" w:eastAsia="zh-CN"/>
        </w:rPr>
        <w:t>856.93万元</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16.81</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人员经费减少</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万元，其中：一般公共预算拨款收入</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525.06</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62.50</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315.06</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37.50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16.81</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人员经费减少</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万元；支出包括：一般公共服务支出</w:t>
      </w:r>
      <w:r>
        <w:rPr>
          <w:rFonts w:hint="eastAsia" w:ascii="Times New Roman" w:hAnsi="Times New Roman" w:eastAsia="仿宋_GB2312" w:cs="Times New Roman"/>
          <w:sz w:val="32"/>
          <w:szCs w:val="32"/>
          <w:highlight w:val="none"/>
          <w:lang w:val="en-US" w:eastAsia="zh-CN"/>
        </w:rPr>
        <w:t>745.94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28.91万元</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18.13万元</w:t>
      </w:r>
      <w:r>
        <w:rPr>
          <w:rFonts w:hint="eastAsia" w:ascii="Times New Roman" w:hAnsi="Times New Roman" w:eastAsia="仿宋_GB2312" w:cs="Times New Roman"/>
          <w:sz w:val="32"/>
          <w:szCs w:val="32"/>
          <w:highlight w:val="none"/>
          <w:lang w:eastAsia="zh-CN"/>
        </w:rPr>
        <w:t>、住房保障支出</w:t>
      </w:r>
      <w:r>
        <w:rPr>
          <w:rFonts w:hint="eastAsia" w:ascii="Times New Roman" w:hAnsi="Times New Roman" w:eastAsia="仿宋_GB2312" w:cs="Times New Roman"/>
          <w:sz w:val="32"/>
          <w:szCs w:val="32"/>
          <w:highlight w:val="none"/>
          <w:lang w:val="en-US" w:eastAsia="zh-CN"/>
        </w:rPr>
        <w:t>47.14万元。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840.12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16.81</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人员经费减少</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val="en-US" w:eastAsia="zh-CN"/>
        </w:rPr>
        <w:t>745.94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88.79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28.91万元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3.44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18.13万元，占2.16%；</w:t>
      </w:r>
      <w:r>
        <w:rPr>
          <w:rFonts w:hint="eastAsia" w:ascii="Times New Roman" w:hAnsi="Times New Roman" w:eastAsia="仿宋_GB2312" w:cs="Times New Roman"/>
          <w:sz w:val="32"/>
          <w:szCs w:val="32"/>
          <w:highlight w:val="none"/>
          <w:lang w:eastAsia="zh-CN"/>
        </w:rPr>
        <w:t>住房保障支出</w:t>
      </w:r>
      <w:r>
        <w:rPr>
          <w:rFonts w:hint="eastAsia" w:ascii="Times New Roman" w:hAnsi="Times New Roman" w:eastAsia="仿宋_GB2312" w:cs="Times New Roman"/>
          <w:sz w:val="32"/>
          <w:szCs w:val="32"/>
          <w:highlight w:val="none"/>
          <w:lang w:val="en-US" w:eastAsia="zh-CN"/>
        </w:rPr>
        <w:t>47.14万元，占5.61%</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sz w:val="32"/>
          <w:szCs w:val="32"/>
          <w:highlight w:val="none"/>
          <w:lang w:eastAsia="zh-CN"/>
        </w:rPr>
        <w:t>政府办公室及相关机构</w:t>
      </w:r>
      <w:r>
        <w:rPr>
          <w:rFonts w:hint="default" w:ascii="Times New Roman" w:hAnsi="Times New Roman" w:eastAsia="仿宋_GB2312" w:cs="Times New Roman"/>
          <w:sz w:val="32"/>
          <w:szCs w:val="32"/>
          <w:highlight w:val="none"/>
        </w:rPr>
        <w:t>事务（款）行政运行（项）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预算数为262.48万元，主要用于：</w:t>
      </w:r>
      <w:r>
        <w:rPr>
          <w:rFonts w:hint="eastAsia" w:ascii="Times New Roman" w:hAnsi="Times New Roman" w:eastAsia="仿宋_GB2312" w:cs="Times New Roman"/>
          <w:sz w:val="32"/>
          <w:szCs w:val="32"/>
          <w:highlight w:val="none"/>
          <w:lang w:eastAsia="zh-CN"/>
        </w:rPr>
        <w:t>公务员基本工资、津贴补贴、办公费等。</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2.一般公共服务（类）</w:t>
      </w:r>
      <w:r>
        <w:rPr>
          <w:rFonts w:hint="eastAsia" w:ascii="Times New Roman" w:hAnsi="Times New Roman" w:eastAsia="仿宋_GB2312" w:cs="Times New Roman"/>
          <w:sz w:val="32"/>
          <w:szCs w:val="32"/>
          <w:highlight w:val="none"/>
          <w:lang w:eastAsia="zh-CN"/>
        </w:rPr>
        <w:t>政府办公室及相关机构</w:t>
      </w:r>
      <w:r>
        <w:rPr>
          <w:rFonts w:hint="default" w:ascii="Times New Roman" w:hAnsi="Times New Roman" w:eastAsia="仿宋_GB2312" w:cs="Times New Roman"/>
          <w:sz w:val="32"/>
          <w:szCs w:val="32"/>
          <w:highlight w:val="none"/>
        </w:rPr>
        <w:t>事务（款）一般行政管理事务（项）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315.06</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保障单位基本运行的印刷费、邮电费、租赁费、水电费等项目支出</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3.一般公共服务（类）</w:t>
      </w:r>
      <w:r>
        <w:rPr>
          <w:rFonts w:hint="eastAsia" w:ascii="Times New Roman" w:hAnsi="Times New Roman" w:eastAsia="仿宋_GB2312" w:cs="Times New Roman"/>
          <w:sz w:val="32"/>
          <w:szCs w:val="32"/>
          <w:highlight w:val="none"/>
          <w:lang w:eastAsia="zh-CN"/>
        </w:rPr>
        <w:t>政府办公室及相关机构</w:t>
      </w:r>
      <w:r>
        <w:rPr>
          <w:rFonts w:hint="default" w:ascii="Times New Roman" w:hAnsi="Times New Roman" w:eastAsia="仿宋_GB2312" w:cs="Times New Roman"/>
          <w:sz w:val="32"/>
          <w:szCs w:val="32"/>
          <w:highlight w:val="none"/>
        </w:rPr>
        <w:t>事务（款）</w:t>
      </w:r>
      <w:r>
        <w:rPr>
          <w:rFonts w:hint="eastAsia" w:ascii="Times New Roman" w:hAnsi="Times New Roman" w:eastAsia="仿宋_GB2312" w:cs="Times New Roman"/>
          <w:sz w:val="32"/>
          <w:szCs w:val="32"/>
          <w:highlight w:val="none"/>
          <w:lang w:eastAsia="zh-CN"/>
        </w:rPr>
        <w:t>事业运行</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168.40</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事业人员基本工资、津贴补贴、奖金等。</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社会保障和就业</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行政事业单位离退休</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机关事业单位基本养老保险缴费支出</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28.91</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机关工作人员社会保险缴费等</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行政单位医疗</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8.14</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公务员医疗保险缴费等</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事业单位医疗</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7.48</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事业单位人员医疗保险缴费。</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公务员医疗补助</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2.50</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公务员医疗补助缴费等</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住房保障</w:t>
      </w:r>
      <w:r>
        <w:rPr>
          <w:rFonts w:hint="default"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住房改革</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住房公积金</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47.14</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机关工作人员住房公积金缴费等</w:t>
      </w:r>
      <w:r>
        <w:rPr>
          <w:rFonts w:hint="default" w:ascii="Times New Roman" w:hAnsi="Times New Roman" w:eastAsia="仿宋_GB2312" w:cs="Times New Roman"/>
          <w:sz w:val="32"/>
          <w:szCs w:val="32"/>
          <w:highlight w:val="none"/>
        </w:rPr>
        <w:t>。</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525.06</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470.40</w:t>
      </w:r>
      <w:r>
        <w:rPr>
          <w:rFonts w:hint="default"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eastAsia="zh-CN"/>
        </w:rPr>
        <w:t>绩效工资、</w:t>
      </w:r>
      <w:r>
        <w:rPr>
          <w:rFonts w:hint="default" w:ascii="Times New Roman" w:hAnsi="Times New Roman" w:eastAsia="仿宋_GB2312" w:cs="Times New Roman"/>
          <w:sz w:val="32"/>
          <w:szCs w:val="32"/>
          <w:highlight w:val="none"/>
        </w:rPr>
        <w:t>社会保险缴费</w:t>
      </w:r>
      <w:r>
        <w:rPr>
          <w:rFonts w:hint="eastAsia" w:ascii="Times New Roman" w:hAnsi="Times New Roman" w:eastAsia="仿宋_GB2312" w:cs="Times New Roman"/>
          <w:sz w:val="32"/>
          <w:szCs w:val="32"/>
          <w:highlight w:val="none"/>
          <w:lang w:eastAsia="zh-CN"/>
        </w:rPr>
        <w:t>、住房公积金等。</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54.66</w:t>
      </w:r>
      <w:r>
        <w:rPr>
          <w:rFonts w:hint="default" w:ascii="Times New Roman" w:hAnsi="Times New Roman" w:eastAsia="仿宋_GB2312" w:cs="Times New Roman"/>
          <w:sz w:val="32"/>
          <w:szCs w:val="32"/>
          <w:highlight w:val="none"/>
        </w:rPr>
        <w:t>万元，主要包括：办公费、</w:t>
      </w:r>
      <w:r>
        <w:rPr>
          <w:rFonts w:hint="eastAsia" w:ascii="Times New Roman" w:hAnsi="Times New Roman" w:eastAsia="仿宋_GB2312" w:cs="Times New Roman"/>
          <w:sz w:val="32"/>
          <w:szCs w:val="32"/>
          <w:highlight w:val="none"/>
          <w:lang w:eastAsia="zh-CN"/>
        </w:rPr>
        <w:t>邮电费、差旅费、维修（护）费、福利费等。</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区行政审批局2024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万元，其中：公务接待费</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rPr>
          <w:rFonts w:hint="default" w:ascii="Times New Roman" w:hAnsi="Times New Roman" w:eastAsia="黑体" w:cs="Times New Roman"/>
          <w:b/>
          <w:sz w:val="32"/>
          <w:szCs w:val="32"/>
          <w:highlight w:val="none"/>
        </w:rPr>
      </w:pPr>
      <w:r>
        <w:rPr>
          <w:rFonts w:hint="default" w:ascii="Times New Roman" w:hAnsi="Times New Roman" w:eastAsia="仿宋_GB2312" w:cs="Times New Roman"/>
          <w:b w:val="0"/>
          <w:sz w:val="32"/>
          <w:szCs w:val="32"/>
          <w:highlight w:val="none"/>
        </w:rPr>
        <w:t>公务接待费较</w:t>
      </w:r>
      <w:r>
        <w:rPr>
          <w:rFonts w:hint="default" w:ascii="Times New Roman" w:hAnsi="Times New Roman" w:eastAsia="仿宋_GB2312" w:cs="Times New Roman"/>
          <w:b w:val="0"/>
          <w:sz w:val="32"/>
          <w:szCs w:val="32"/>
          <w:highlight w:val="none"/>
          <w:lang w:eastAsia="zh-CN"/>
        </w:rPr>
        <w:t>2023年</w:t>
      </w:r>
      <w:r>
        <w:rPr>
          <w:rFonts w:hint="default" w:ascii="Times New Roman" w:hAnsi="Times New Roman" w:eastAsia="仿宋_GB2312" w:cs="Times New Roman"/>
          <w:b w:val="0"/>
          <w:sz w:val="32"/>
          <w:szCs w:val="32"/>
          <w:highlight w:val="none"/>
        </w:rPr>
        <w:t>预算</w:t>
      </w:r>
      <w:r>
        <w:rPr>
          <w:rFonts w:hint="default" w:ascii="Times New Roman" w:hAnsi="Times New Roman" w:eastAsia="仿宋_GB2312" w:cs="Times New Roman"/>
          <w:b w:val="0"/>
          <w:sz w:val="32"/>
          <w:szCs w:val="32"/>
          <w:highlight w:val="none"/>
          <w:u w:val="none"/>
        </w:rPr>
        <w:t>下降</w:t>
      </w:r>
      <w:r>
        <w:rPr>
          <w:rFonts w:hint="default" w:ascii="Times New Roman" w:hAnsi="Times New Roman" w:eastAsia="仿宋_GB2312" w:cs="Times New Roman"/>
          <w:b w:val="0"/>
          <w:sz w:val="32"/>
          <w:szCs w:val="32"/>
          <w:highlight w:val="none"/>
          <w:lang w:val="en-US" w:eastAsia="zh-CN"/>
        </w:rPr>
        <w:t>16.67</w:t>
      </w:r>
      <w:r>
        <w:rPr>
          <w:rFonts w:hint="default" w:ascii="Times New Roman" w:hAnsi="Times New Roman" w:eastAsia="仿宋_GB2312" w:cs="Times New Roman"/>
          <w:b w:val="0"/>
          <w:sz w:val="32"/>
          <w:szCs w:val="32"/>
          <w:highlight w:val="none"/>
        </w:rPr>
        <w:t>%</w:t>
      </w:r>
      <w:r>
        <w:rPr>
          <w:rFonts w:hint="default" w:ascii="Times New Roman" w:hAnsi="Times New Roman" w:eastAsia="仿宋_GB2312" w:cs="Times New Roman"/>
          <w:b w:val="0"/>
          <w:sz w:val="32"/>
          <w:szCs w:val="32"/>
          <w:highlight w:val="none"/>
          <w:lang w:eastAsia="zh-CN"/>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公务接待次数减少</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ascii="Times New Roman" w:hAnsi="Times New Roman" w:eastAsia="仿宋_GB2312" w:cs="Times New Roman"/>
          <w:sz w:val="32"/>
          <w:szCs w:val="32"/>
          <w:highlight w:val="none"/>
          <w:lang w:eastAsia="zh-CN"/>
        </w:rPr>
        <w:t>其他单位赴本单位交流、学习等业务活动接待餐费</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eastAsia="zh-CN"/>
        </w:rPr>
        <w:t>区行政审批局</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eastAsia="zh-CN"/>
        </w:rPr>
        <w:t>区行政审批局</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区行政审批局</w:t>
      </w:r>
      <w:r>
        <w:rPr>
          <w:rFonts w:hint="default" w:ascii="Times New Roman" w:hAnsi="Times New Roman" w:eastAsia="仿宋_GB2312" w:cs="Times New Roman"/>
          <w:sz w:val="32"/>
          <w:szCs w:val="32"/>
          <w:highlight w:val="none"/>
        </w:rPr>
        <w:t>的机关运行经费财政拨款预算为</w:t>
      </w:r>
      <w:r>
        <w:rPr>
          <w:rFonts w:hint="eastAsia" w:ascii="Times New Roman" w:hAnsi="Times New Roman" w:eastAsia="仿宋_GB2312" w:cs="Times New Roman"/>
          <w:sz w:val="32"/>
          <w:szCs w:val="32"/>
          <w:highlight w:val="none"/>
          <w:lang w:val="en-US" w:eastAsia="zh-CN"/>
        </w:rPr>
        <w:t>369.72</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2.42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u w:val="none"/>
        </w:rPr>
        <w:t>下降</w:t>
      </w:r>
      <w:r>
        <w:rPr>
          <w:rFonts w:hint="eastAsia" w:ascii="Times New Roman" w:hAnsi="Times New Roman" w:eastAsia="仿宋_GB2312" w:cs="Times New Roman"/>
          <w:sz w:val="32"/>
          <w:szCs w:val="32"/>
          <w:highlight w:val="none"/>
          <w:lang w:val="en-US" w:eastAsia="zh-CN"/>
        </w:rPr>
        <w:t>0.65</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厉行节约</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u w:val="none"/>
          <w:lang w:eastAsia="zh-CN"/>
        </w:rPr>
        <w:t>区行政审批局</w:t>
      </w: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区行政审批局</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315.06</w:t>
      </w:r>
      <w:r>
        <w:rPr>
          <w:rFonts w:hint="default" w:ascii="Times New Roman" w:hAnsi="Times New Roman" w:eastAsia="仿宋_GB2312" w:cs="Times New Roman"/>
          <w:sz w:val="32"/>
          <w:szCs w:val="32"/>
          <w:highlight w:val="none"/>
          <w:lang w:eastAsia="zh-CN"/>
        </w:rPr>
        <w:t>万元。其中：特定目标类项目</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315.06</w:t>
      </w:r>
      <w:r>
        <w:rPr>
          <w:rFonts w:hint="default" w:ascii="Times New Roman" w:hAnsi="Times New Roman" w:eastAsia="仿宋_GB2312" w:cs="Times New Roman"/>
          <w:sz w:val="32"/>
          <w:szCs w:val="32"/>
          <w:highlight w:val="none"/>
          <w:lang w:eastAsia="zh-CN"/>
        </w:rPr>
        <w:t>万元。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1.一般公共预算拨款收入：指市级财政当年拨付的资金。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3.一般公共服务（类）财政事务（款）行政运行（项）：指厅机关及参公管理事业单位用于保障机构正常运行、开展日常工作的基本支出。</w:t>
      </w:r>
    </w:p>
    <w:p>
      <w:pPr>
        <w:spacing w:line="240" w:lineRule="auto"/>
        <w:ind w:firstLine="0" w:firstLineChars="0"/>
        <w:rPr>
          <w:rFonts w:hint="default" w:ascii="Times New Roman" w:hAnsi="Times New Roman" w:eastAsia="楷体" w:cs="Times New Roman"/>
          <w:b/>
          <w:color w:val="FF0000"/>
          <w:sz w:val="32"/>
          <w:szCs w:val="32"/>
          <w:highlight w:val="none"/>
        </w:rPr>
      </w:pPr>
      <w:r>
        <w:rPr>
          <w:rFonts w:hint="eastAsia" w:ascii="Times New Roman" w:hAnsi="Times New Roman" w:eastAsia="仿宋_GB2312"/>
          <w:sz w:val="32"/>
          <w:szCs w:val="32"/>
          <w:highlight w:val="none"/>
        </w:rPr>
        <w:t>4.一般公共服务（类）财政事务（款）一般行政管理事务（项）：指厅机关及参公管理事业单位开展财政综合业务、预决算编审等未单独设置项级科目的专门性财政管理工作的项目支出。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5.基本支出：指为保证机构正常运转，完成日常工作任务而发生的人员支出和公用支出。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6.项目支出：指在基本支出之外为完成特定行政任务和事业发展目标所发生的支出。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7.“三公”经费：纳入</w:t>
      </w:r>
      <w:r>
        <w:rPr>
          <w:rFonts w:hint="eastAsia" w:ascii="Times New Roman" w:hAnsi="Times New Roman" w:eastAsia="仿宋_GB2312"/>
          <w:sz w:val="32"/>
          <w:szCs w:val="32"/>
          <w:highlight w:val="none"/>
          <w:lang w:eastAsia="zh-CN"/>
        </w:rPr>
        <w:t>单位</w:t>
      </w:r>
      <w:r>
        <w:rPr>
          <w:rFonts w:hint="eastAsia" w:ascii="Times New Roman" w:hAnsi="Times New Roman" w:eastAsia="仿宋_GB2312"/>
          <w:sz w:val="32"/>
          <w:szCs w:val="32"/>
          <w:highlight w:val="none"/>
        </w:rPr>
        <w:t>预决算管理的“三公”经费，是指</w:t>
      </w:r>
      <w:r>
        <w:rPr>
          <w:rFonts w:hint="eastAsia" w:ascii="Times New Roman" w:hAnsi="Times New Roman" w:eastAsia="仿宋_GB2312"/>
          <w:sz w:val="32"/>
          <w:szCs w:val="32"/>
          <w:highlight w:val="none"/>
          <w:lang w:eastAsia="zh-CN"/>
        </w:rPr>
        <w:t>单位</w:t>
      </w:r>
      <w:r>
        <w:rPr>
          <w:rFonts w:hint="eastAsia" w:ascii="Times New Roman" w:hAnsi="Times New Roman"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sz w:val="32"/>
          <w:szCs w:val="32"/>
          <w:highlight w:val="none"/>
        </w:rPr>
        <w:br w:type="textWrapping"/>
      </w:r>
      <w:r>
        <w:rPr>
          <w:rFonts w:hint="eastAsia" w:ascii="Times New Roman" w:hAnsi="Times New Roman" w:eastAsia="仿宋_GB2312"/>
          <w:sz w:val="32"/>
          <w:szCs w:val="32"/>
          <w:highlight w:val="none"/>
        </w:rPr>
        <w:t>　　8.机关运行经费：为保障行政单位（包含参照公务员法管理的事业单位）运行用于购买货物和服务的各项资金。包括办公及印刷费、邮电费、差旅费、会议费一般设备购置费等费用开支。</w:t>
      </w:r>
      <w:r>
        <w:rPr>
          <w:rFonts w:hint="default" w:ascii="Times New Roman" w:hAnsi="Times New Roman" w:eastAsia="楷体" w:cs="Times New Roman"/>
          <w:b/>
          <w:color w:val="FF0000"/>
          <w:sz w:val="32"/>
          <w:szCs w:val="32"/>
          <w:highlight w:val="none"/>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广安市广安区行政审批局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NzQyYmY0M2YwZTc5NWVmZDQ2Y2RlOGE4NTE0MTg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34474D5"/>
    <w:rsid w:val="04AF02D8"/>
    <w:rsid w:val="054B586B"/>
    <w:rsid w:val="08AF0E7E"/>
    <w:rsid w:val="094C42CE"/>
    <w:rsid w:val="0A3C244D"/>
    <w:rsid w:val="0CFD3B56"/>
    <w:rsid w:val="0D5C636E"/>
    <w:rsid w:val="0F96368D"/>
    <w:rsid w:val="0FB51D65"/>
    <w:rsid w:val="10CF6E57"/>
    <w:rsid w:val="116F23E8"/>
    <w:rsid w:val="11D706B9"/>
    <w:rsid w:val="12572908"/>
    <w:rsid w:val="133E6515"/>
    <w:rsid w:val="14576EEE"/>
    <w:rsid w:val="15DE0F03"/>
    <w:rsid w:val="15FFCE06"/>
    <w:rsid w:val="176EB2CA"/>
    <w:rsid w:val="1C24274C"/>
    <w:rsid w:val="1CEF11B4"/>
    <w:rsid w:val="1D017037"/>
    <w:rsid w:val="1D683148"/>
    <w:rsid w:val="1DE9F11D"/>
    <w:rsid w:val="1DFEF48B"/>
    <w:rsid w:val="1E5E9CAC"/>
    <w:rsid w:val="1E9F4C3A"/>
    <w:rsid w:val="1FFED141"/>
    <w:rsid w:val="257F09F3"/>
    <w:rsid w:val="26F23447"/>
    <w:rsid w:val="294C43BE"/>
    <w:rsid w:val="2B35044C"/>
    <w:rsid w:val="2BF6B04D"/>
    <w:rsid w:val="2D102E0E"/>
    <w:rsid w:val="2FE72238"/>
    <w:rsid w:val="310821E5"/>
    <w:rsid w:val="329C7909"/>
    <w:rsid w:val="366A7D01"/>
    <w:rsid w:val="36A428BE"/>
    <w:rsid w:val="37752F0F"/>
    <w:rsid w:val="37D7200A"/>
    <w:rsid w:val="37DB54BF"/>
    <w:rsid w:val="39EC51AA"/>
    <w:rsid w:val="3BF7822D"/>
    <w:rsid w:val="3D3E0D3C"/>
    <w:rsid w:val="3ECB2752"/>
    <w:rsid w:val="3EF3FC2D"/>
    <w:rsid w:val="3F4E83B9"/>
    <w:rsid w:val="3F791594"/>
    <w:rsid w:val="3F7F3D35"/>
    <w:rsid w:val="3FEF825B"/>
    <w:rsid w:val="407237DC"/>
    <w:rsid w:val="40AB493B"/>
    <w:rsid w:val="426C517F"/>
    <w:rsid w:val="45C75D73"/>
    <w:rsid w:val="45FD8A71"/>
    <w:rsid w:val="47B75973"/>
    <w:rsid w:val="48FF203E"/>
    <w:rsid w:val="49DF8F8D"/>
    <w:rsid w:val="4E3046D1"/>
    <w:rsid w:val="4F37A3C3"/>
    <w:rsid w:val="50BE6A7A"/>
    <w:rsid w:val="521A3F9A"/>
    <w:rsid w:val="53DFDA61"/>
    <w:rsid w:val="57D6273D"/>
    <w:rsid w:val="57F7A238"/>
    <w:rsid w:val="57FFFCA8"/>
    <w:rsid w:val="586236D9"/>
    <w:rsid w:val="598F4D7B"/>
    <w:rsid w:val="5ABFA6AD"/>
    <w:rsid w:val="5BD6492A"/>
    <w:rsid w:val="5CB7BA99"/>
    <w:rsid w:val="5CFE9876"/>
    <w:rsid w:val="5D95E3D3"/>
    <w:rsid w:val="5DDE8EDA"/>
    <w:rsid w:val="5DFE7261"/>
    <w:rsid w:val="5EB623FC"/>
    <w:rsid w:val="5F2F86E9"/>
    <w:rsid w:val="5FE7E072"/>
    <w:rsid w:val="5FFC71C1"/>
    <w:rsid w:val="5FFF199C"/>
    <w:rsid w:val="605D5FA7"/>
    <w:rsid w:val="62214605"/>
    <w:rsid w:val="63F79408"/>
    <w:rsid w:val="63FBFE1C"/>
    <w:rsid w:val="64C00E8D"/>
    <w:rsid w:val="64D916AD"/>
    <w:rsid w:val="64EC0669"/>
    <w:rsid w:val="6615622F"/>
    <w:rsid w:val="66AE7F8C"/>
    <w:rsid w:val="66E20F29"/>
    <w:rsid w:val="67843A07"/>
    <w:rsid w:val="67AF051E"/>
    <w:rsid w:val="67F65CF0"/>
    <w:rsid w:val="6BEEE90C"/>
    <w:rsid w:val="6CFE95BA"/>
    <w:rsid w:val="6DD7B53C"/>
    <w:rsid w:val="6DDF82BB"/>
    <w:rsid w:val="6EFAA790"/>
    <w:rsid w:val="6EFD8677"/>
    <w:rsid w:val="6F3B0F61"/>
    <w:rsid w:val="6F743FC6"/>
    <w:rsid w:val="6F9BB48F"/>
    <w:rsid w:val="6FAFCD21"/>
    <w:rsid w:val="6FFDBC71"/>
    <w:rsid w:val="6FFF42B9"/>
    <w:rsid w:val="70157679"/>
    <w:rsid w:val="711D243B"/>
    <w:rsid w:val="71CE23ED"/>
    <w:rsid w:val="7375DF5E"/>
    <w:rsid w:val="739FA989"/>
    <w:rsid w:val="74171342"/>
    <w:rsid w:val="774C5829"/>
    <w:rsid w:val="775F5835"/>
    <w:rsid w:val="777FD03C"/>
    <w:rsid w:val="78FF0635"/>
    <w:rsid w:val="79D7B71B"/>
    <w:rsid w:val="7A545120"/>
    <w:rsid w:val="7B6D8555"/>
    <w:rsid w:val="7BB5BB3B"/>
    <w:rsid w:val="7BBD26E8"/>
    <w:rsid w:val="7BE694FB"/>
    <w:rsid w:val="7BEE3A28"/>
    <w:rsid w:val="7BFAD181"/>
    <w:rsid w:val="7BFF63B1"/>
    <w:rsid w:val="7D49654D"/>
    <w:rsid w:val="7D7E018B"/>
    <w:rsid w:val="7DBF609B"/>
    <w:rsid w:val="7DD9A961"/>
    <w:rsid w:val="7DDF1AF8"/>
    <w:rsid w:val="7DFB24B8"/>
    <w:rsid w:val="7DFEAF7B"/>
    <w:rsid w:val="7E3E0B3C"/>
    <w:rsid w:val="7E521976"/>
    <w:rsid w:val="7EBFB26A"/>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22"/>
    <w:rPr>
      <w:b/>
      <w:bCs/>
    </w:rPr>
  </w:style>
  <w:style w:type="character" w:customStyle="1" w:styleId="8">
    <w:name w:val="apple-converted-space"/>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456</Words>
  <Characters>2600</Characters>
  <Lines>21</Lines>
  <Paragraphs>6</Paragraphs>
  <TotalTime>6</TotalTime>
  <ScaleCrop>false</ScaleCrop>
  <LinksUpToDate>false</LinksUpToDate>
  <CharactersWithSpaces>3050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Scaler</cp:lastModifiedBy>
  <cp:lastPrinted>2023-05-14T02:35:00Z</cp:lastPrinted>
  <dcterms:modified xsi:type="dcterms:W3CDTF">2024-02-27T01:31:59Z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C996DA02ED4F44BEAB4153C9305D1C81_13</vt:lpwstr>
  </property>
</Properties>
</file>