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96597"/>
      <w:bookmarkStart w:id="2" w:name="_Toc15378441"/>
      <w:bookmarkStart w:id="3" w:name="_Toc15377193"/>
      <w:bookmarkStart w:id="4" w:name="_Toc15377425"/>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88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8442"/>
      <w:bookmarkStart w:id="8" w:name="_Toc15377194"/>
      <w:bookmarkStart w:id="9" w:name="_Toc15396598"/>
      <w:bookmarkStart w:id="10" w:name="_Toc15396476"/>
      <w:bookmarkStart w:id="11" w:name="_Toc15377426"/>
      <w:bookmarkStart w:id="12" w:name="_Toc11667"/>
      <w:r>
        <w:rPr>
          <w:rFonts w:hint="eastAsia" w:ascii="方正小标宋简体" w:hAnsi="方正小标宋简体" w:eastAsia="方正小标宋简体" w:cs="方正小标宋简体"/>
          <w:color w:val="auto"/>
          <w:sz w:val="72"/>
          <w:szCs w:val="72"/>
          <w:highlight w:val="none"/>
        </w:rPr>
        <w:t>四川省</w:t>
      </w:r>
      <w:bookmarkEnd w:id="5"/>
      <w:bookmarkStart w:id="13" w:name="_Toc15306268"/>
      <w:r>
        <w:rPr>
          <w:rFonts w:hint="eastAsia" w:ascii="方正小标宋简体" w:hAnsi="方正小标宋简体" w:eastAsia="方正小标宋简体" w:cs="方正小标宋简体"/>
          <w:color w:val="auto"/>
          <w:sz w:val="72"/>
          <w:szCs w:val="72"/>
          <w:highlight w:val="none"/>
          <w:lang w:val="en-US" w:eastAsia="zh-CN"/>
        </w:rPr>
        <w:t>广安市广安区就业服务管理局</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10</w:t>
      </w:r>
      <w:r>
        <w:rPr>
          <w:rFonts w:hint="eastAsia"/>
          <w:color w:val="auto"/>
          <w:highlight w:val="none"/>
        </w:rPr>
        <w:t>日</w:t>
      </w:r>
    </w:p>
    <w:sdt>
      <w:sdtPr>
        <w:rPr>
          <w:rFonts w:ascii="宋体" w:hAnsi="宋体" w:eastAsia="宋体" w:cs="Times New Roman"/>
          <w:kern w:val="2"/>
          <w:sz w:val="21"/>
          <w:szCs w:val="24"/>
          <w:lang w:val="en-US" w:eastAsia="zh-CN" w:bidi="ar-SA"/>
        </w:rPr>
        <w:id w:val="147455682"/>
        <w15:color w:val="DBDBDB"/>
        <w:docPartObj>
          <w:docPartGallery w:val="Table of Contents"/>
          <w:docPartUnique/>
        </w:docPartObj>
      </w:sdtPr>
      <w:sdtEndPr>
        <w:rPr>
          <w:rFonts w:hint="eastAsia" w:ascii="方正仿宋_GBK" w:hAnsi="方正仿宋_GBK" w:eastAsia="方正仿宋_GBK" w:cs="方正仿宋_GBK"/>
          <w:b/>
          <w:kern w:val="2"/>
          <w:sz w:val="32"/>
          <w:szCs w:val="32"/>
          <w:lang w:val="en-US" w:eastAsia="zh-CN" w:bidi="ar-SA"/>
        </w:rPr>
      </w:sdtEndPr>
      <w:sdtContent>
        <w:p>
          <w:pPr>
            <w:spacing w:before="0" w:beforeLines="0" w:after="0" w:afterLines="0" w:line="240" w:lineRule="auto"/>
            <w:ind w:left="0" w:leftChars="0" w:right="0" w:rightChars="0" w:firstLine="0" w:firstLineChars="0"/>
            <w:jc w:val="center"/>
          </w:pP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"1-2" \h \u </w:instrText>
          </w:r>
          <w:r>
            <w:rPr>
              <w:rFonts w:hint="eastAsia" w:ascii="方正仿宋_GBK" w:hAnsi="方正仿宋_GBK" w:eastAsia="方正仿宋_GBK" w:cs="方正仿宋_GBK"/>
              <w:sz w:val="32"/>
              <w:szCs w:val="32"/>
            </w:rPr>
            <w:fldChar w:fldCharType="separate"/>
          </w:r>
        </w:p>
        <w:p>
          <w:pPr>
            <w:pStyle w:val="42"/>
            <w:tabs>
              <w:tab w:val="right" w:leader="dot" w:pos="8306"/>
            </w:tabs>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_Toc22137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highlight w:val="none"/>
            </w:rPr>
            <w:t xml:space="preserve">第一部分 </w:t>
          </w:r>
          <w:r>
            <w:rPr>
              <w:rFonts w:hint="eastAsia" w:ascii="方正仿宋_GBK" w:hAnsi="方正仿宋_GBK" w:eastAsia="方正仿宋_GBK" w:cs="方正仿宋_GBK"/>
              <w:b/>
              <w:bCs w:val="0"/>
              <w:sz w:val="32"/>
              <w:szCs w:val="32"/>
              <w:highlight w:val="none"/>
            </w:rPr>
            <w:t>部门概况</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PAGEREF _Toc22137 \h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rPr>
            <w:t>4</w:t>
          </w:r>
          <w:r>
            <w:rPr>
              <w:rFonts w:hint="eastAsia" w:ascii="方正仿宋_GBK" w:hAnsi="方正仿宋_GBK" w:eastAsia="方正仿宋_GBK" w:cs="方正仿宋_GBK"/>
              <w:b/>
              <w:sz w:val="32"/>
              <w:szCs w:val="32"/>
            </w:rPr>
            <w:fldChar w:fldCharType="end"/>
          </w:r>
          <w:r>
            <w:rPr>
              <w:rFonts w:hint="eastAsia" w:ascii="方正仿宋_GBK" w:hAnsi="方正仿宋_GBK" w:eastAsia="方正仿宋_GBK" w:cs="方正仿宋_GBK"/>
              <w:b/>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_Toc30506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highlight w:val="none"/>
              <w:lang w:eastAsia="zh-CN"/>
            </w:rPr>
            <w:t>部门职责</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_Toc30506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_Toc16567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highlight w:val="none"/>
            </w:rPr>
            <w:t>二、机</w:t>
          </w:r>
          <w:r>
            <w:rPr>
              <w:rFonts w:hint="eastAsia" w:ascii="方正仿宋_GBK" w:hAnsi="方正仿宋_GBK" w:eastAsia="方正仿宋_GBK" w:cs="方正仿宋_GBK"/>
              <w:bCs w:val="0"/>
              <w:sz w:val="32"/>
              <w:szCs w:val="32"/>
              <w:highlight w:val="none"/>
            </w:rPr>
            <w:t>构设置</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_Toc16567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2"/>
            <w:tabs>
              <w:tab w:val="right" w:leader="dot" w:pos="8306"/>
            </w:tabs>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_Toc12190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bCs/>
              <w:sz w:val="32"/>
              <w:szCs w:val="32"/>
              <w:highlight w:val="none"/>
            </w:rPr>
            <w:t xml:space="preserve">第二部分 </w:t>
          </w:r>
          <w:r>
            <w:rPr>
              <w:rFonts w:hint="eastAsia" w:ascii="方正仿宋_GBK" w:hAnsi="方正仿宋_GBK" w:eastAsia="方正仿宋_GBK" w:cs="方正仿宋_GBK"/>
              <w:b/>
              <w:bCs/>
              <w:sz w:val="32"/>
              <w:szCs w:val="32"/>
              <w:highlight w:val="none"/>
              <w:lang w:val="en-US" w:eastAsia="zh-CN"/>
            </w:rPr>
            <w:t>2022年度</w:t>
          </w:r>
          <w:r>
            <w:rPr>
              <w:rFonts w:hint="eastAsia" w:ascii="方正仿宋_GBK" w:hAnsi="方正仿宋_GBK" w:eastAsia="方正仿宋_GBK" w:cs="方正仿宋_GBK"/>
              <w:b/>
              <w:bCs/>
              <w:sz w:val="32"/>
              <w:szCs w:val="32"/>
              <w:highlight w:val="none"/>
            </w:rPr>
            <w:t>部门决算情况说明</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PAGEREF _Toc12190 \h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rPr>
            <w:t>5</w:t>
          </w:r>
          <w:r>
            <w:rPr>
              <w:rFonts w:hint="eastAsia" w:ascii="方正仿宋_GBK" w:hAnsi="方正仿宋_GBK" w:eastAsia="方正仿宋_GBK" w:cs="方正仿宋_GBK"/>
              <w:b/>
              <w:sz w:val="32"/>
              <w:szCs w:val="32"/>
            </w:rPr>
            <w:fldChar w:fldCharType="end"/>
          </w:r>
          <w:r>
            <w:rPr>
              <w:rFonts w:hint="eastAsia" w:ascii="方正仿宋_GBK" w:hAnsi="方正仿宋_GBK" w:eastAsia="方正仿宋_GBK" w:cs="方正仿宋_GBK"/>
              <w:b/>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_Toc21745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一、 </w:t>
          </w:r>
          <w:r>
            <w:rPr>
              <w:rFonts w:hint="eastAsia" w:ascii="方正仿宋_GBK" w:hAnsi="方正仿宋_GBK" w:eastAsia="方正仿宋_GBK" w:cs="方正仿宋_GBK"/>
              <w:sz w:val="32"/>
              <w:szCs w:val="32"/>
              <w:highlight w:val="none"/>
            </w:rPr>
            <w:t>收入支出决算总体情况说明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_Toc21745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_Toc20690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二、 </w:t>
          </w:r>
          <w:r>
            <w:rPr>
              <w:rFonts w:hint="eastAsia" w:ascii="方正仿宋_GBK" w:hAnsi="方正仿宋_GBK" w:eastAsia="方正仿宋_GBK" w:cs="方正仿宋_GBK"/>
              <w:sz w:val="32"/>
              <w:szCs w:val="32"/>
              <w:highlight w:val="none"/>
            </w:rPr>
            <w:t>收入决算情况说明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_Toc20690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_Toc30795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三、 </w:t>
          </w:r>
          <w:r>
            <w:rPr>
              <w:rFonts w:hint="eastAsia" w:ascii="方正仿宋_GBK" w:hAnsi="方正仿宋_GBK" w:eastAsia="方正仿宋_GBK" w:cs="方正仿宋_GBK"/>
              <w:sz w:val="32"/>
              <w:szCs w:val="32"/>
              <w:highlight w:val="none"/>
            </w:rPr>
            <w:t>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_Toc30795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_Toc24577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highlight w:val="none"/>
            </w:rPr>
            <w:t>四、财政拨款收入支出决算总体情况说明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_Toc24577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_Toc22903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highlight w:val="none"/>
            </w:rPr>
            <w:t>五、一般公共预算财政拨款支出决算情况说明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_Toc22903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_Toc20986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highlight w:val="none"/>
            </w:rPr>
            <w:t>六、一般公共预算财政拨款基本支出决算情况说明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_Toc20986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_Toc18184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highlight w:val="none"/>
              <w:lang w:val="en-US" w:eastAsia="zh-CN"/>
            </w:rPr>
            <w:t>七、一般公共预算财政拨款项目支出决算情况说明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_Toc18184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_Toc13249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、财政拨款“三公”经费支出决算情况说明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_Toc13249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_Toc12636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、政府性基金预算支出决算情况说明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_Toc12636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_Toc14054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十、</w:t>
          </w:r>
          <w:r>
            <w:rPr>
              <w:rFonts w:hint="eastAsia" w:ascii="方正仿宋_GBK" w:hAnsi="方正仿宋_GBK" w:eastAsia="方正仿宋_GBK" w:cs="方正仿宋_GBK"/>
              <w:sz w:val="32"/>
              <w:szCs w:val="32"/>
              <w:highlight w:val="none"/>
            </w:rPr>
            <w:t>国有资本经营预算支出决算情况说明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_Toc14054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_Toc3622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十一、</w:t>
          </w:r>
          <w:r>
            <w:rPr>
              <w:rFonts w:hint="eastAsia" w:ascii="方正仿宋_GBK" w:hAnsi="方正仿宋_GBK" w:eastAsia="方正仿宋_GBK" w:cs="方正仿宋_GBK"/>
              <w:sz w:val="32"/>
              <w:szCs w:val="32"/>
              <w:highlight w:val="none"/>
            </w:rPr>
            <w:t>其他重要事项的情况说明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_Toc3622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42"/>
            <w:tabs>
              <w:tab w:val="right" w:leader="dot" w:pos="8306"/>
            </w:tabs>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_Toc26625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rPr>
            <w:t xml:space="preserve">第三部分 </w:t>
          </w:r>
          <w:r>
            <w:rPr>
              <w:rFonts w:hint="eastAsia" w:ascii="方正仿宋_GBK" w:hAnsi="方正仿宋_GBK" w:eastAsia="方正仿宋_GBK" w:cs="方正仿宋_GBK"/>
              <w:b/>
              <w:sz w:val="32"/>
              <w:szCs w:val="32"/>
              <w:highlight w:val="none"/>
            </w:rPr>
            <w:t>名词解释</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PAGEREF _Toc26625 \h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rPr>
            <w:t>16</w:t>
          </w:r>
          <w:r>
            <w:rPr>
              <w:rFonts w:hint="eastAsia" w:ascii="方正仿宋_GBK" w:hAnsi="方正仿宋_GBK" w:eastAsia="方正仿宋_GBK" w:cs="方正仿宋_GBK"/>
              <w:b/>
              <w:sz w:val="32"/>
              <w:szCs w:val="32"/>
            </w:rPr>
            <w:fldChar w:fldCharType="end"/>
          </w:r>
          <w:r>
            <w:rPr>
              <w:rFonts w:hint="eastAsia" w:ascii="方正仿宋_GBK" w:hAnsi="方正仿宋_GBK" w:eastAsia="方正仿宋_GBK" w:cs="方正仿宋_GBK"/>
              <w:b/>
              <w:sz w:val="32"/>
              <w:szCs w:val="32"/>
            </w:rPr>
            <w:fldChar w:fldCharType="end"/>
          </w:r>
        </w:p>
        <w:p>
          <w:pPr>
            <w:pStyle w:val="42"/>
            <w:tabs>
              <w:tab w:val="right" w:leader="dot" w:pos="8306"/>
            </w:tabs>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_Toc8945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highlight w:val="none"/>
            </w:rPr>
            <w:t>第四部分 附件</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PAGEREF _Toc8945 \h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rPr>
            <w:t>20</w:t>
          </w:r>
          <w:r>
            <w:rPr>
              <w:rFonts w:hint="eastAsia" w:ascii="方正仿宋_GBK" w:hAnsi="方正仿宋_GBK" w:eastAsia="方正仿宋_GBK" w:cs="方正仿宋_GBK"/>
              <w:b/>
              <w:sz w:val="32"/>
              <w:szCs w:val="32"/>
            </w:rPr>
            <w:fldChar w:fldCharType="end"/>
          </w:r>
          <w:r>
            <w:rPr>
              <w:rFonts w:hint="eastAsia" w:ascii="方正仿宋_GBK" w:hAnsi="方正仿宋_GBK" w:eastAsia="方正仿宋_GBK" w:cs="方正仿宋_GBK"/>
              <w:b/>
              <w:sz w:val="32"/>
              <w:szCs w:val="32"/>
            </w:rPr>
            <w:fldChar w:fldCharType="end"/>
          </w:r>
        </w:p>
        <w:p>
          <w:pPr>
            <w:pStyle w:val="42"/>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_Toc23265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highlight w:val="none"/>
            </w:rPr>
            <w:t>第五部分 附表</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PAGEREF _Toc23265 \h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rPr>
            <w:t>30</w:t>
          </w:r>
          <w:r>
            <w:rPr>
              <w:rFonts w:hint="eastAsia" w:ascii="方正仿宋_GBK" w:hAnsi="方正仿宋_GBK" w:eastAsia="方正仿宋_GBK" w:cs="方正仿宋_GBK"/>
              <w:b/>
              <w:sz w:val="32"/>
              <w:szCs w:val="32"/>
            </w:rPr>
            <w:fldChar w:fldCharType="end"/>
          </w:r>
          <w:r>
            <w:rPr>
              <w:rFonts w:hint="eastAsia" w:ascii="方正仿宋_GBK" w:hAnsi="方正仿宋_GBK" w:eastAsia="方正仿宋_GBK" w:cs="方正仿宋_GBK"/>
              <w:b/>
              <w:sz w:val="32"/>
              <w:szCs w:val="32"/>
            </w:rPr>
            <w:fldChar w:fldCharType="end"/>
          </w:r>
          <w:r>
            <w:rPr>
              <w:rFonts w:hint="eastAsia" w:ascii="方正仿宋_GBK" w:hAnsi="方正仿宋_GBK" w:eastAsia="方正仿宋_GBK" w:cs="方正仿宋_GBK"/>
              <w:b/>
              <w:sz w:val="32"/>
              <w:szCs w:val="32"/>
            </w:rPr>
            <w:fldChar w:fldCharType="end"/>
          </w:r>
        </w:p>
      </w:sdtContent>
    </w:sdt>
    <w:p>
      <w:pPr>
        <w:pStyle w:val="13"/>
        <w:adjustRightInd w:val="0"/>
        <w:snapToGrid w:val="0"/>
        <w:spacing w:line="240" w:lineRule="auto"/>
        <w:jc w:val="left"/>
        <w:outlineLvl w:val="1"/>
        <w:rPr>
          <w:rFonts w:hint="eastAsia" w:ascii="方正仿宋_GBK" w:hAnsi="方正仿宋_GBK" w:eastAsia="方正仿宋_GBK" w:cs="方正仿宋_GBK"/>
          <w:color w:val="auto"/>
          <w:sz w:val="32"/>
          <w:szCs w:val="32"/>
          <w:highlight w:val="none"/>
        </w:rPr>
      </w:pPr>
      <w:bookmarkStart w:id="14" w:name="_Toc11741"/>
      <w:r>
        <w:rPr>
          <w:rFonts w:hint="eastAsia" w:ascii="方正仿宋_GBK" w:hAnsi="方正仿宋_GBK" w:eastAsia="方正仿宋_GBK" w:cs="方正仿宋_GBK"/>
          <w:color w:val="auto"/>
          <w:sz w:val="32"/>
          <w:szCs w:val="32"/>
          <w:highlight w:val="none"/>
        </w:rPr>
        <w:t>一、收入支出决算总表</w:t>
      </w:r>
      <w:bookmarkEnd w:id="14"/>
    </w:p>
    <w:p>
      <w:pPr>
        <w:pStyle w:val="13"/>
        <w:adjustRightInd w:val="0"/>
        <w:snapToGrid w:val="0"/>
        <w:spacing w:line="24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二、收入决算表</w:t>
      </w:r>
    </w:p>
    <w:p>
      <w:pPr>
        <w:pStyle w:val="13"/>
        <w:adjustRightInd w:val="0"/>
        <w:snapToGrid w:val="0"/>
        <w:spacing w:line="24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三、支出决算表</w:t>
      </w:r>
    </w:p>
    <w:p>
      <w:pPr>
        <w:pStyle w:val="13"/>
        <w:adjustRightInd w:val="0"/>
        <w:snapToGrid w:val="0"/>
        <w:spacing w:line="24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四、财政拨款收入支出决算总表</w:t>
      </w:r>
    </w:p>
    <w:p>
      <w:pPr>
        <w:pStyle w:val="13"/>
        <w:adjustRightInd w:val="0"/>
        <w:snapToGrid w:val="0"/>
        <w:spacing w:line="24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五、财政拨款支出决算明细表</w:t>
      </w:r>
    </w:p>
    <w:p>
      <w:pPr>
        <w:pStyle w:val="13"/>
        <w:adjustRightInd w:val="0"/>
        <w:snapToGrid w:val="0"/>
        <w:spacing w:line="24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六、一般公共预算财政拨款支出决算表</w:t>
      </w:r>
    </w:p>
    <w:p>
      <w:pPr>
        <w:pStyle w:val="13"/>
        <w:adjustRightInd w:val="0"/>
        <w:snapToGrid w:val="0"/>
        <w:spacing w:line="24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七、一般公共预算财政拨款支出决算明细表</w:t>
      </w:r>
    </w:p>
    <w:p>
      <w:pPr>
        <w:pStyle w:val="13"/>
        <w:adjustRightInd w:val="0"/>
        <w:snapToGrid w:val="0"/>
        <w:spacing w:line="24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八、一般公共预算财政拨款基本支出决算表</w:t>
      </w:r>
    </w:p>
    <w:p>
      <w:pPr>
        <w:pStyle w:val="13"/>
        <w:adjustRightInd w:val="0"/>
        <w:snapToGrid w:val="0"/>
        <w:spacing w:line="24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九、一般公共预算财政拨款项目支出决算表</w:t>
      </w:r>
    </w:p>
    <w:p>
      <w:pPr>
        <w:pStyle w:val="13"/>
        <w:adjustRightInd w:val="0"/>
        <w:snapToGrid w:val="0"/>
        <w:spacing w:line="24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十、政府性基金预算财政拨款收入支出决算表</w:t>
      </w:r>
    </w:p>
    <w:p>
      <w:pPr>
        <w:pStyle w:val="13"/>
        <w:adjustRightInd w:val="0"/>
        <w:snapToGrid w:val="0"/>
        <w:spacing w:line="24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十一、国有资本经营预算财政拨款收入支出决算表</w:t>
      </w:r>
    </w:p>
    <w:p>
      <w:pPr>
        <w:pStyle w:val="13"/>
        <w:adjustRightInd w:val="0"/>
        <w:snapToGrid w:val="0"/>
        <w:spacing w:line="24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十二、</w:t>
      </w:r>
      <w:r>
        <w:rPr>
          <w:rFonts w:hint="eastAsia" w:ascii="方正仿宋_GBK" w:hAnsi="方正仿宋_GBK" w:eastAsia="方正仿宋_GBK" w:cs="方正仿宋_GBK"/>
          <w:color w:val="auto"/>
          <w:sz w:val="32"/>
          <w:szCs w:val="32"/>
          <w:highlight w:val="none"/>
          <w:lang w:val="en-US" w:eastAsia="zh-CN"/>
        </w:rPr>
        <w:t>国有资本经营预算财政拨款支出决算表</w:t>
      </w:r>
    </w:p>
    <w:p>
      <w:pPr>
        <w:pStyle w:val="13"/>
        <w:adjustRightInd w:val="0"/>
        <w:snapToGrid w:val="0"/>
        <w:spacing w:line="240" w:lineRule="auto"/>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十三、财政拨款“三公”经费支出决算表</w:t>
      </w:r>
    </w:p>
    <w:p>
      <w:pPr>
        <w:pStyle w:val="3"/>
        <w:jc w:val="center"/>
        <w:rPr>
          <w:rFonts w:hint="eastAsia" w:ascii="黑体" w:hAnsi="黑体" w:eastAsia="黑体"/>
          <w:b w:val="0"/>
          <w:color w:val="auto"/>
          <w:highlight w:val="none"/>
        </w:rPr>
      </w:pPr>
      <w:bookmarkStart w:id="15" w:name="_Toc15377196"/>
      <w:bookmarkStart w:id="16" w:name="_Toc15396599"/>
      <w:bookmarkStart w:id="17" w:name="_Toc22137"/>
    </w:p>
    <w:p>
      <w:pPr>
        <w:pStyle w:val="3"/>
        <w:jc w:val="center"/>
        <w:rPr>
          <w:rFonts w:hint="eastAsia" w:ascii="黑体" w:hAnsi="黑体" w:eastAsia="黑体"/>
          <w:b w:val="0"/>
          <w:color w:val="auto"/>
          <w:highlight w:val="none"/>
        </w:rPr>
      </w:pPr>
    </w:p>
    <w:p>
      <w:pPr>
        <w:pStyle w:val="3"/>
        <w:jc w:val="center"/>
        <w:rPr>
          <w:rFonts w:hint="eastAsia" w:ascii="黑体" w:hAnsi="黑体" w:eastAsia="黑体"/>
          <w:b w:val="0"/>
          <w:color w:val="auto"/>
          <w:highlight w:val="none"/>
        </w:rPr>
      </w:pPr>
    </w:p>
    <w:p>
      <w:pPr>
        <w:pStyle w:val="3"/>
        <w:jc w:val="both"/>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rPr>
          <w:rFonts w:hint="eastAsia"/>
        </w:rPr>
      </w:pPr>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34"/>
          <w:rFonts w:hint="eastAsia" w:ascii="黑体" w:hAnsi="黑体" w:eastAsia="黑体"/>
          <w:b w:val="0"/>
          <w:bCs w:val="0"/>
          <w:color w:val="auto"/>
          <w:highlight w:val="none"/>
        </w:rPr>
        <w:t>部门概况</w:t>
      </w:r>
      <w:bookmarkEnd w:id="15"/>
      <w:bookmarkEnd w:id="16"/>
      <w:bookmarkEnd w:id="17"/>
    </w:p>
    <w:p>
      <w:pPr>
        <w:pStyle w:val="4"/>
        <w:numPr>
          <w:ilvl w:val="0"/>
          <w:numId w:val="1"/>
        </w:numPr>
        <w:rPr>
          <w:rFonts w:hint="eastAsia" w:ascii="黑体" w:hAnsi="黑体" w:eastAsia="黑体"/>
          <w:b w:val="0"/>
          <w:color w:val="auto"/>
          <w:highlight w:val="none"/>
          <w:lang w:eastAsia="zh-CN"/>
        </w:rPr>
      </w:pPr>
      <w:bookmarkStart w:id="18" w:name="_Toc30506"/>
      <w:r>
        <w:rPr>
          <w:rFonts w:hint="eastAsia" w:ascii="黑体" w:hAnsi="黑体" w:eastAsia="黑体"/>
          <w:b w:val="0"/>
          <w:color w:val="auto"/>
          <w:highlight w:val="none"/>
          <w:lang w:eastAsia="zh-CN"/>
        </w:rPr>
        <w:t>部门职责</w:t>
      </w:r>
      <w:bookmarkEnd w:id="18"/>
    </w:p>
    <w:p>
      <w:pPr>
        <w:numPr>
          <w:ilvl w:val="0"/>
          <w:numId w:val="0"/>
        </w:numPr>
        <w:ind w:firstLine="640" w:firstLineChars="200"/>
        <w:rPr>
          <w:rFonts w:hint="eastAsia"/>
          <w:lang w:eastAsia="zh-CN"/>
        </w:rPr>
      </w:pPr>
      <w:bookmarkStart w:id="19" w:name="_Toc23581"/>
      <w:bookmarkStart w:id="20" w:name="_Toc17148"/>
      <w:r>
        <w:rPr>
          <w:rFonts w:hint="eastAsia" w:ascii="仿宋_GB2312" w:hAnsi="仿宋" w:eastAsia="仿宋_GB2312" w:cs="Times New Roman"/>
          <w:b w:val="0"/>
          <w:bCs w:val="0"/>
          <w:sz w:val="32"/>
          <w:szCs w:val="32"/>
          <w:lang w:val="en-US" w:eastAsia="zh-CN"/>
        </w:rPr>
        <w:t>我局的主要职责是贯彻执行国家劳动就业和失业保险的方针政策，负责全区就业服务管理工作；做好劳动就业和失业保险执法、管理和服务工作；帮助、指导劳动者就业；开展劳动力资源调查，收集、发布就业信息；组织开展职业技能培训；负责失业保险基金征集、管理和发放；维护我区就业局势基本稳定，促进经济社会发展；承办区政府和上级主管部门交办的其他工作。</w:t>
      </w:r>
      <w:bookmarkEnd w:id="19"/>
      <w:bookmarkEnd w:id="20"/>
    </w:p>
    <w:p>
      <w:pPr>
        <w:pStyle w:val="4"/>
        <w:rPr>
          <w:rStyle w:val="35"/>
          <w:b w:val="0"/>
          <w:bCs w:val="0"/>
          <w:color w:val="auto"/>
          <w:highlight w:val="none"/>
        </w:rPr>
      </w:pPr>
      <w:bookmarkStart w:id="21" w:name="_Toc15396601"/>
      <w:bookmarkStart w:id="22" w:name="_Toc16567"/>
      <w:bookmarkStart w:id="23"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35"/>
          <w:rFonts w:hint="eastAsia" w:ascii="黑体" w:hAnsi="黑体" w:eastAsia="黑体"/>
          <w:b w:val="0"/>
          <w:bCs w:val="0"/>
          <w:color w:val="auto"/>
          <w:highlight w:val="none"/>
        </w:rPr>
        <w:t>构设置</w:t>
      </w:r>
      <w:bookmarkEnd w:id="21"/>
      <w:bookmarkEnd w:id="22"/>
      <w:bookmarkEnd w:id="23"/>
    </w:p>
    <w:p>
      <w:pPr>
        <w:widowControl/>
        <w:ind w:firstLine="660" w:firstLineChars="200"/>
        <w:jc w:val="left"/>
        <w:rPr>
          <w:rFonts w:ascii="仿宋" w:hAnsi="仿宋" w:eastAsia="仿宋"/>
          <w:color w:val="auto"/>
          <w:kern w:val="0"/>
          <w:sz w:val="32"/>
          <w:szCs w:val="32"/>
          <w:highlight w:val="none"/>
        </w:rPr>
      </w:pPr>
      <w:r>
        <w:rPr>
          <w:rFonts w:hint="eastAsia" w:ascii="Times New Roman" w:hAnsi="Times New Roman" w:eastAsia="方正仿宋_GBK" w:cs="Times New Roman"/>
          <w:sz w:val="33"/>
          <w:szCs w:val="33"/>
          <w:lang w:val="en-US" w:eastAsia="zh-CN"/>
        </w:rPr>
        <w:t>区就业</w:t>
      </w:r>
      <w:r>
        <w:rPr>
          <w:rFonts w:hint="eastAsia" w:eastAsia="方正仿宋_GBK" w:cs="Times New Roman"/>
          <w:sz w:val="33"/>
          <w:szCs w:val="33"/>
          <w:lang w:val="en-US" w:eastAsia="zh-CN"/>
        </w:rPr>
        <w:t>服务管理</w:t>
      </w:r>
      <w:r>
        <w:rPr>
          <w:rFonts w:hint="eastAsia" w:ascii="Times New Roman" w:hAnsi="Times New Roman" w:eastAsia="方正仿宋_GBK" w:cs="Times New Roman"/>
          <w:sz w:val="33"/>
          <w:szCs w:val="33"/>
          <w:lang w:val="en-US" w:eastAsia="zh-CN"/>
        </w:rPr>
        <w:t>局参照公务员法管理的事业单位1个，为区就业</w:t>
      </w:r>
      <w:r>
        <w:rPr>
          <w:rFonts w:hint="eastAsia" w:eastAsia="方正仿宋_GBK" w:cs="Times New Roman"/>
          <w:sz w:val="33"/>
          <w:szCs w:val="33"/>
          <w:lang w:val="en-US" w:eastAsia="zh-CN"/>
        </w:rPr>
        <w:t>服务管理</w:t>
      </w:r>
      <w:r>
        <w:rPr>
          <w:rFonts w:hint="eastAsia" w:ascii="Times New Roman" w:hAnsi="Times New Roman" w:eastAsia="方正仿宋_GBK" w:cs="Times New Roman"/>
          <w:sz w:val="33"/>
          <w:szCs w:val="33"/>
          <w:lang w:val="en-US" w:eastAsia="zh-CN"/>
        </w:rPr>
        <w:t>局机关</w:t>
      </w:r>
      <w:r>
        <w:rPr>
          <w:rFonts w:hint="eastAsia" w:eastAsia="方正仿宋_GBK" w:cs="Times New Roman"/>
          <w:sz w:val="33"/>
          <w:szCs w:val="33"/>
          <w:lang w:val="en-US" w:eastAsia="zh-CN"/>
        </w:rPr>
        <w:t>。单位内设</w:t>
      </w:r>
      <w:r>
        <w:rPr>
          <w:rFonts w:hint="eastAsia" w:ascii="仿宋_GB2312" w:hAnsi="仿宋" w:eastAsia="仿宋_GB2312" w:cs="Times New Roman"/>
          <w:sz w:val="32"/>
          <w:szCs w:val="32"/>
          <w:lang w:val="en-US" w:eastAsia="zh-CN"/>
        </w:rPr>
        <w:t>4个股室，即：办公室、就业指导股、职业培训股、失业保险股。</w:t>
      </w:r>
      <w:r>
        <w:rPr>
          <w:rFonts w:ascii="仿宋" w:hAnsi="仿宋" w:eastAsia="仿宋"/>
          <w:color w:val="auto"/>
          <w:sz w:val="32"/>
          <w:szCs w:val="32"/>
          <w:highlight w:val="none"/>
        </w:rPr>
        <w:br w:type="page"/>
      </w:r>
    </w:p>
    <w:p>
      <w:pPr>
        <w:pStyle w:val="3"/>
        <w:ind w:right="440"/>
        <w:jc w:val="center"/>
        <w:rPr>
          <w:color w:val="auto"/>
          <w:highlight w:val="none"/>
        </w:rPr>
      </w:pPr>
      <w:bookmarkStart w:id="24" w:name="_Toc15377204"/>
      <w:bookmarkStart w:id="25" w:name="_Toc15396602"/>
      <w:bookmarkStart w:id="26" w:name="_Toc12190"/>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4"/>
          <w:rFonts w:hint="eastAsia" w:ascii="黑体" w:hAnsi="黑体" w:eastAsia="黑体"/>
          <w:b w:val="0"/>
          <w:bCs/>
          <w:color w:val="auto"/>
          <w:highlight w:val="none"/>
        </w:rPr>
        <w:t>部门决算情况说明</w:t>
      </w:r>
      <w:bookmarkEnd w:id="24"/>
      <w:bookmarkEnd w:id="25"/>
      <w:bookmarkEnd w:id="26"/>
    </w:p>
    <w:p>
      <w:pPr>
        <w:pStyle w:val="33"/>
        <w:numPr>
          <w:ilvl w:val="0"/>
          <w:numId w:val="2"/>
        </w:numPr>
        <w:spacing w:line="600" w:lineRule="exact"/>
        <w:ind w:firstLineChars="0"/>
        <w:outlineLvl w:val="1"/>
        <w:rPr>
          <w:rStyle w:val="35"/>
          <w:rFonts w:ascii="黑体" w:hAnsi="黑体" w:eastAsia="黑体"/>
          <w:b w:val="0"/>
          <w:color w:val="auto"/>
          <w:highlight w:val="none"/>
        </w:rPr>
      </w:pPr>
      <w:bookmarkStart w:id="27" w:name="_Toc21745"/>
      <w:bookmarkStart w:id="28" w:name="_Toc15396603"/>
      <w:bookmarkStart w:id="29" w:name="_Toc15377205"/>
      <w:r>
        <w:rPr>
          <w:rFonts w:hint="eastAsia" w:ascii="黑体" w:hAnsi="黑体" w:eastAsia="黑体"/>
          <w:color w:val="auto"/>
          <w:sz w:val="32"/>
          <w:szCs w:val="32"/>
          <w:highlight w:val="none"/>
        </w:rPr>
        <w:t>收</w:t>
      </w:r>
      <w:r>
        <w:rPr>
          <w:rStyle w:val="35"/>
          <w:rFonts w:hint="eastAsia" w:ascii="黑体" w:hAnsi="黑体" w:eastAsia="黑体"/>
          <w:b w:val="0"/>
          <w:color w:val="auto"/>
          <w:highlight w:val="none"/>
        </w:rPr>
        <w:t>入支出决算总体情况说明</w:t>
      </w:r>
      <w:bookmarkEnd w:id="27"/>
      <w:bookmarkEnd w:id="28"/>
      <w:bookmarkEnd w:id="2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均为1520.73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1571.17万元</w:t>
      </w:r>
      <w:r>
        <w:rPr>
          <w:rFonts w:hint="eastAsia" w:ascii="仿宋" w:hAnsi="仿宋" w:eastAsia="仿宋"/>
          <w:color w:val="auto"/>
          <w:sz w:val="32"/>
          <w:szCs w:val="32"/>
          <w:highlight w:val="none"/>
        </w:rPr>
        <w:t>相比，收、支总计各减少</w:t>
      </w:r>
      <w:r>
        <w:rPr>
          <w:rFonts w:hint="eastAsia" w:ascii="仿宋" w:hAnsi="仿宋" w:eastAsia="仿宋"/>
          <w:color w:val="auto"/>
          <w:sz w:val="32"/>
          <w:szCs w:val="32"/>
          <w:highlight w:val="none"/>
          <w:lang w:val="en-US" w:eastAsia="zh-CN"/>
        </w:rPr>
        <w:t>50.44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就业创业补助资金比2021年减少120万元</w:t>
      </w:r>
      <w:r>
        <w:rPr>
          <w:rFonts w:hint="eastAsia" w:ascii="仿宋" w:hAnsi="仿宋" w:eastAsia="仿宋"/>
          <w:color w:val="auto"/>
          <w:sz w:val="32"/>
          <w:szCs w:val="32"/>
          <w:highlight w:val="none"/>
          <w:lang w:eastAsia="zh-CN"/>
        </w:rPr>
        <w:t>。</w:t>
      </w:r>
    </w:p>
    <w:p>
      <w:pPr>
        <w:pStyle w:val="7"/>
        <w:rPr>
          <w:rFonts w:hint="eastAsia"/>
          <w:lang w:eastAsia="zh-CN"/>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eastAsia="zh-CN"/>
        </w:rPr>
        <w:drawing>
          <wp:inline distT="0" distB="0" distL="114300" distR="114300">
            <wp:extent cx="4141470" cy="2726690"/>
            <wp:effectExtent l="4445" t="4445" r="6985" b="1206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33"/>
        <w:numPr>
          <w:ilvl w:val="0"/>
          <w:numId w:val="2"/>
        </w:numPr>
        <w:spacing w:line="600" w:lineRule="exact"/>
        <w:ind w:firstLineChars="0"/>
        <w:outlineLvl w:val="1"/>
        <w:rPr>
          <w:rStyle w:val="35"/>
          <w:rFonts w:ascii="黑体" w:hAnsi="黑体" w:eastAsia="黑体"/>
          <w:b w:val="0"/>
          <w:color w:val="auto"/>
          <w:highlight w:val="none"/>
        </w:rPr>
      </w:pPr>
      <w:bookmarkStart w:id="30" w:name="_Toc15396604"/>
      <w:bookmarkStart w:id="31" w:name="_Toc15377206"/>
      <w:bookmarkStart w:id="32" w:name="_Toc20690"/>
      <w:r>
        <w:rPr>
          <w:rFonts w:hint="eastAsia" w:ascii="黑体" w:hAnsi="黑体" w:eastAsia="黑体"/>
          <w:color w:val="auto"/>
          <w:sz w:val="32"/>
          <w:szCs w:val="32"/>
          <w:highlight w:val="none"/>
        </w:rPr>
        <w:t>收</w:t>
      </w:r>
      <w:r>
        <w:rPr>
          <w:rStyle w:val="35"/>
          <w:rFonts w:hint="eastAsia" w:ascii="黑体" w:hAnsi="黑体" w:eastAsia="黑体"/>
          <w:b w:val="0"/>
          <w:color w:val="auto"/>
          <w:highlight w:val="none"/>
        </w:rPr>
        <w:t>入决算情况说明</w:t>
      </w:r>
      <w:bookmarkEnd w:id="30"/>
      <w:bookmarkEnd w:id="31"/>
      <w:bookmarkEnd w:id="32"/>
    </w:p>
    <w:p>
      <w:pPr>
        <w:spacing w:line="600" w:lineRule="exact"/>
        <w:ind w:firstLine="640" w:firstLineChars="200"/>
        <w:outlineLvl w:val="1"/>
        <w:rPr>
          <w:rFonts w:ascii="仿宋" w:hAnsi="仿宋" w:eastAsia="仿宋"/>
          <w:b/>
          <w:color w:val="auto"/>
          <w:sz w:val="32"/>
          <w:szCs w:val="32"/>
          <w:highlight w:val="none"/>
        </w:rPr>
      </w:pPr>
      <w:bookmarkStart w:id="33" w:name="_Toc507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1520.73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1520.73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3"/>
    </w:p>
    <w:p>
      <w:pPr>
        <w:pStyle w:val="7"/>
        <w:rPr>
          <w:rFonts w:ascii="仿宋" w:hAnsi="仿宋" w:eastAsia="仿宋"/>
          <w:b/>
          <w:color w:val="auto"/>
          <w:sz w:val="32"/>
          <w:szCs w:val="32"/>
          <w:highlight w:val="none"/>
        </w:rPr>
      </w:pPr>
    </w:p>
    <w:p>
      <w:pPr>
        <w:pStyle w:val="7"/>
        <w:rPr>
          <w:rFonts w:ascii="仿宋" w:hAnsi="仿宋" w:eastAsia="仿宋"/>
          <w:b/>
          <w:color w:val="auto"/>
          <w:sz w:val="32"/>
          <w:szCs w:val="32"/>
          <w:highlight w:val="none"/>
        </w:rPr>
      </w:pPr>
    </w:p>
    <w:p>
      <w:pPr>
        <w:pStyle w:val="7"/>
        <w:rPr>
          <w:rFonts w:ascii="仿宋" w:hAnsi="仿宋" w:eastAsia="仿宋"/>
          <w:b/>
          <w:color w:val="auto"/>
          <w:sz w:val="32"/>
          <w:szCs w:val="32"/>
          <w:highlight w:val="none"/>
        </w:rPr>
      </w:pPr>
    </w:p>
    <w:p>
      <w:pPr>
        <w:pStyle w:val="7"/>
        <w:rPr>
          <w:rFonts w:ascii="仿宋" w:hAnsi="仿宋" w:eastAsia="仿宋"/>
          <w:b/>
          <w:color w:val="auto"/>
          <w:sz w:val="32"/>
          <w:szCs w:val="32"/>
          <w:highlight w:val="none"/>
        </w:rPr>
      </w:pPr>
    </w:p>
    <w:p>
      <w:pPr>
        <w:spacing w:line="600" w:lineRule="exact"/>
        <w:ind w:firstLine="640" w:firstLineChars="200"/>
        <w:outlineLvl w:val="9"/>
        <w:rPr>
          <w:rFonts w:ascii="仿宋" w:hAnsi="仿宋" w:eastAsia="仿宋"/>
          <w:color w:val="auto"/>
          <w:sz w:val="32"/>
          <w:szCs w:val="32"/>
          <w:highlight w:val="none"/>
        </w:rPr>
      </w:pPr>
      <w:r>
        <w:rPr>
          <w:rFonts w:hint="eastAsia" w:ascii="仿宋_GB2312" w:eastAsia="仿宋_GB2312"/>
          <w:color w:val="000000"/>
          <w:sz w:val="32"/>
          <w:szCs w:val="32"/>
          <w:lang w:eastAsia="zh-CN"/>
        </w:rPr>
        <w:drawing>
          <wp:anchor distT="0" distB="0" distL="114300" distR="114300" simplePos="0" relativeHeight="251659264" behindDoc="0" locked="0" layoutInCell="1" allowOverlap="1">
            <wp:simplePos x="0" y="0"/>
            <wp:positionH relativeFrom="column">
              <wp:posOffset>406400</wp:posOffset>
            </wp:positionH>
            <wp:positionV relativeFrom="paragraph">
              <wp:posOffset>-1816100</wp:posOffset>
            </wp:positionV>
            <wp:extent cx="4447540" cy="2117725"/>
            <wp:effectExtent l="0" t="0" r="10160" b="3175"/>
            <wp:wrapNone/>
            <wp:docPr id="7" name="图片 7" descr="5e4eca7cf2d0acffdf955a92a81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e4eca7cf2d0acffdf955a92a818665"/>
                    <pic:cNvPicPr>
                      <a:picLocks noChangeAspect="1"/>
                    </pic:cNvPicPr>
                  </pic:nvPicPr>
                  <pic:blipFill>
                    <a:blip r:embed="rId7"/>
                    <a:stretch>
                      <a:fillRect/>
                    </a:stretch>
                  </pic:blipFill>
                  <pic:spPr>
                    <a:xfrm>
                      <a:off x="0" y="0"/>
                      <a:ext cx="4447540" cy="2117725"/>
                    </a:xfrm>
                    <a:prstGeom prst="rect">
                      <a:avLst/>
                    </a:prstGeom>
                  </pic:spPr>
                </pic:pic>
              </a:graphicData>
            </a:graphic>
          </wp:anchor>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33"/>
        <w:numPr>
          <w:ilvl w:val="0"/>
          <w:numId w:val="2"/>
        </w:numPr>
        <w:spacing w:line="600" w:lineRule="exact"/>
        <w:ind w:firstLineChars="0"/>
        <w:outlineLvl w:val="1"/>
        <w:rPr>
          <w:rStyle w:val="35"/>
          <w:rFonts w:ascii="黑体" w:hAnsi="黑体" w:eastAsia="黑体"/>
          <w:b w:val="0"/>
          <w:color w:val="auto"/>
          <w:highlight w:val="none"/>
        </w:rPr>
      </w:pPr>
      <w:bookmarkStart w:id="34" w:name="_Toc30795"/>
      <w:bookmarkStart w:id="35" w:name="_Toc15377207"/>
      <w:bookmarkStart w:id="36" w:name="_Toc15396605"/>
      <w:r>
        <w:rPr>
          <w:rFonts w:hint="eastAsia" w:ascii="黑体" w:hAnsi="黑体" w:eastAsia="黑体"/>
          <w:color w:val="auto"/>
          <w:sz w:val="32"/>
          <w:szCs w:val="32"/>
          <w:highlight w:val="none"/>
        </w:rPr>
        <w:t>支</w:t>
      </w:r>
      <w:r>
        <w:rPr>
          <w:rStyle w:val="35"/>
          <w:rFonts w:hint="eastAsia" w:ascii="黑体" w:hAnsi="黑体" w:eastAsia="黑体"/>
          <w:b w:val="0"/>
          <w:color w:val="auto"/>
          <w:highlight w:val="none"/>
        </w:rPr>
        <w:t>出决算情况说明</w:t>
      </w:r>
      <w:bookmarkEnd w:id="34"/>
      <w:bookmarkEnd w:id="35"/>
      <w:bookmarkEnd w:id="36"/>
    </w:p>
    <w:p>
      <w:pPr>
        <w:spacing w:line="600" w:lineRule="exact"/>
        <w:ind w:firstLine="640" w:firstLineChars="200"/>
        <w:outlineLvl w:val="1"/>
        <w:rPr>
          <w:rFonts w:ascii="仿宋" w:hAnsi="仿宋" w:eastAsia="仿宋"/>
          <w:color w:val="auto"/>
          <w:sz w:val="32"/>
          <w:szCs w:val="32"/>
          <w:highlight w:val="none"/>
        </w:rPr>
      </w:pPr>
      <w:bookmarkStart w:id="37" w:name="_Toc361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1520.73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213.80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14.06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1306.93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85.94</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7"/>
    </w:p>
    <w:p>
      <w:pPr>
        <w:spacing w:line="600" w:lineRule="exact"/>
        <w:ind w:firstLine="640"/>
        <w:rPr>
          <w:rFonts w:hint="eastAsia" w:ascii="仿宋_GB2312" w:eastAsia="仿宋_GB2312"/>
          <w:color w:val="auto"/>
          <w:sz w:val="32"/>
          <w:szCs w:val="32"/>
          <w:lang w:eastAsia="zh-CN"/>
        </w:rPr>
      </w:pPr>
    </w:p>
    <w:p>
      <w:pPr>
        <w:spacing w:line="600" w:lineRule="exact"/>
        <w:ind w:firstLine="640"/>
        <w:rPr>
          <w:rFonts w:hint="eastAsia" w:ascii="仿宋_GB2312" w:eastAsia="仿宋_GB2312"/>
          <w:color w:val="auto"/>
          <w:sz w:val="32"/>
          <w:szCs w:val="32"/>
          <w:lang w:eastAsia="zh-CN"/>
        </w:rPr>
      </w:pPr>
    </w:p>
    <w:p>
      <w:pPr>
        <w:spacing w:line="600" w:lineRule="exact"/>
        <w:ind w:firstLine="640"/>
        <w:rPr>
          <w:rFonts w:hint="eastAsia" w:ascii="仿宋_GB2312" w:eastAsia="仿宋_GB2312"/>
          <w:color w:val="auto"/>
          <w:sz w:val="32"/>
          <w:szCs w:val="32"/>
          <w:lang w:eastAsia="zh-CN"/>
        </w:rPr>
      </w:pPr>
    </w:p>
    <w:p>
      <w:pPr>
        <w:spacing w:line="600" w:lineRule="exact"/>
        <w:ind w:firstLine="640"/>
        <w:rPr>
          <w:rFonts w:hint="eastAsia" w:ascii="仿宋_GB2312" w:eastAsia="仿宋_GB2312"/>
          <w:color w:val="auto"/>
          <w:sz w:val="32"/>
          <w:szCs w:val="32"/>
          <w:lang w:eastAsia="zh-CN"/>
        </w:rPr>
      </w:pPr>
    </w:p>
    <w:p>
      <w:pPr>
        <w:pStyle w:val="7"/>
        <w:rPr>
          <w:rFonts w:hint="eastAsia"/>
          <w:lang w:eastAsia="zh-CN"/>
        </w:rPr>
      </w:pPr>
    </w:p>
    <w:p>
      <w:pPr>
        <w:spacing w:line="600" w:lineRule="exact"/>
        <w:ind w:firstLine="640"/>
        <w:rPr>
          <w:rFonts w:ascii="仿宋" w:hAnsi="仿宋" w:eastAsia="仿宋"/>
          <w:color w:val="auto"/>
          <w:sz w:val="32"/>
          <w:szCs w:val="32"/>
          <w:highlight w:val="none"/>
          <w:shd w:val="pct10" w:color="auto" w:fill="FFFFFF"/>
        </w:rPr>
      </w:pPr>
      <w:r>
        <w:rPr>
          <w:rFonts w:hint="eastAsia" w:ascii="仿宋_GB2312" w:eastAsia="仿宋_GB2312"/>
          <w:color w:val="auto"/>
          <w:sz w:val="32"/>
          <w:szCs w:val="32"/>
          <w:lang w:eastAsia="zh-CN"/>
        </w:rPr>
        <w:drawing>
          <wp:anchor distT="0" distB="0" distL="114300" distR="114300" simplePos="0" relativeHeight="251660288" behindDoc="0" locked="0" layoutInCell="1" allowOverlap="1">
            <wp:simplePos x="0" y="0"/>
            <wp:positionH relativeFrom="column">
              <wp:posOffset>410845</wp:posOffset>
            </wp:positionH>
            <wp:positionV relativeFrom="paragraph">
              <wp:posOffset>-1989455</wp:posOffset>
            </wp:positionV>
            <wp:extent cx="4305935" cy="2286635"/>
            <wp:effectExtent l="4445" t="4445" r="7620" b="7620"/>
            <wp:wrapNone/>
            <wp:docPr id="2" name="图表 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35"/>
          <w:rFonts w:ascii="黑体" w:hAnsi="黑体" w:eastAsia="黑体"/>
          <w:b w:val="0"/>
          <w:color w:val="auto"/>
          <w:highlight w:val="none"/>
        </w:rPr>
      </w:pPr>
      <w:bookmarkStart w:id="38" w:name="_Toc15377208"/>
      <w:bookmarkStart w:id="39" w:name="_Toc15396606"/>
      <w:bookmarkStart w:id="40" w:name="_Toc24577"/>
      <w:r>
        <w:rPr>
          <w:rFonts w:hint="eastAsia" w:ascii="黑体" w:hAnsi="黑体" w:eastAsia="黑体"/>
          <w:color w:val="auto"/>
          <w:sz w:val="32"/>
          <w:szCs w:val="32"/>
          <w:highlight w:val="none"/>
        </w:rPr>
        <w:t>四、财</w:t>
      </w:r>
      <w:r>
        <w:rPr>
          <w:rStyle w:val="35"/>
          <w:rFonts w:hint="eastAsia" w:ascii="黑体" w:hAnsi="黑体" w:eastAsia="黑体"/>
          <w:b w:val="0"/>
          <w:color w:val="auto"/>
          <w:highlight w:val="none"/>
        </w:rPr>
        <w:t>政拨款收入支出决算总体情况说明</w:t>
      </w:r>
      <w:bookmarkEnd w:id="38"/>
      <w:bookmarkEnd w:id="39"/>
      <w:bookmarkEnd w:id="40"/>
    </w:p>
    <w:p>
      <w:pPr>
        <w:spacing w:line="600" w:lineRule="exact"/>
        <w:ind w:firstLine="640"/>
        <w:rPr>
          <w:rFonts w:ascii="仿宋" w:hAnsi="仿宋" w:eastAsia="仿宋"/>
          <w:color w:val="auto"/>
          <w:sz w:val="32"/>
          <w:szCs w:val="32"/>
          <w:highlight w:val="yellow"/>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均为1520.73</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1571.17</w:t>
      </w:r>
      <w:r>
        <w:rPr>
          <w:rFonts w:hint="eastAsia" w:ascii="仿宋" w:hAnsi="仿宋" w:eastAsia="仿宋"/>
          <w:color w:val="auto"/>
          <w:sz w:val="32"/>
          <w:szCs w:val="32"/>
          <w:highlight w:val="none"/>
        </w:rPr>
        <w:t>万元相比，财政拨款收、支总计</w:t>
      </w:r>
      <w:r>
        <w:rPr>
          <w:rFonts w:hint="eastAsia" w:ascii="仿宋" w:hAnsi="仿宋" w:eastAsia="仿宋"/>
          <w:color w:val="auto"/>
          <w:sz w:val="32"/>
          <w:szCs w:val="32"/>
          <w:highlight w:val="none"/>
          <w:lang w:val="en-US" w:eastAsia="zh-CN"/>
        </w:rPr>
        <w:t>各</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50.44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就业创业补助资金比2021年减少120万。</w:t>
      </w:r>
    </w:p>
    <w:p>
      <w:pPr>
        <w:spacing w:line="6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497840</wp:posOffset>
            </wp:positionH>
            <wp:positionV relativeFrom="paragraph">
              <wp:posOffset>8890</wp:posOffset>
            </wp:positionV>
            <wp:extent cx="4141470" cy="2726690"/>
            <wp:effectExtent l="4445" t="4445" r="6985" b="1206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hint="eastAsia" w:ascii="仿宋" w:hAnsi="仿宋" w:eastAsia="仿宋"/>
          <w:color w:val="auto"/>
          <w:sz w:val="32"/>
          <w:szCs w:val="32"/>
          <w:highlight w:val="none"/>
          <w:lang w:eastAsia="zh-CN"/>
        </w:rPr>
      </w:pPr>
    </w:p>
    <w:p>
      <w:pPr>
        <w:spacing w:line="600" w:lineRule="exact"/>
        <w:rPr>
          <w:rFonts w:hint="eastAsia" w:ascii="仿宋" w:hAnsi="仿宋" w:eastAsia="仿宋"/>
          <w:color w:val="auto"/>
          <w:sz w:val="32"/>
          <w:szCs w:val="32"/>
          <w:highlight w:val="none"/>
          <w:lang w:eastAsia="zh-CN"/>
        </w:rPr>
      </w:pPr>
    </w:p>
    <w:p>
      <w:pPr>
        <w:spacing w:line="600" w:lineRule="exac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pPr>
        <w:pStyle w:val="7"/>
        <w:rPr>
          <w:rFonts w:hint="eastAsia" w:ascii="仿宋" w:hAnsi="仿宋" w:eastAsia="仿宋"/>
          <w:color w:val="auto"/>
          <w:sz w:val="32"/>
          <w:szCs w:val="32"/>
          <w:highlight w:val="none"/>
          <w:lang w:eastAsia="zh-CN"/>
        </w:rPr>
      </w:pPr>
    </w:p>
    <w:p>
      <w:pPr>
        <w:pStyle w:val="7"/>
        <w:rPr>
          <w:rFonts w:hint="eastAsia" w:ascii="仿宋" w:hAnsi="仿宋" w:eastAsia="仿宋"/>
          <w:color w:val="auto"/>
          <w:sz w:val="32"/>
          <w:szCs w:val="32"/>
          <w:highlight w:val="none"/>
          <w:lang w:eastAsia="zh-CN"/>
        </w:rPr>
      </w:pP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35"/>
          <w:rFonts w:ascii="黑体" w:hAnsi="黑体" w:eastAsia="黑体"/>
          <w:b w:val="0"/>
          <w:color w:val="auto"/>
          <w:highlight w:val="none"/>
        </w:rPr>
      </w:pPr>
      <w:bookmarkStart w:id="41" w:name="_Toc15377209"/>
      <w:bookmarkStart w:id="42" w:name="_Toc22903"/>
      <w:bookmarkStart w:id="43"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5"/>
          <w:rFonts w:hint="eastAsia" w:ascii="黑体" w:hAnsi="黑体" w:eastAsia="黑体"/>
          <w:b w:val="0"/>
          <w:color w:val="auto"/>
          <w:highlight w:val="none"/>
        </w:rPr>
        <w:t>般公共预算财政拨款支出决算情况说明</w:t>
      </w:r>
      <w:bookmarkEnd w:id="41"/>
      <w:bookmarkEnd w:id="42"/>
      <w:bookmarkEnd w:id="43"/>
    </w:p>
    <w:p>
      <w:pPr>
        <w:spacing w:line="600" w:lineRule="exact"/>
        <w:ind w:firstLine="643" w:firstLineChars="200"/>
        <w:outlineLvl w:val="2"/>
        <w:rPr>
          <w:rFonts w:ascii="仿宋" w:hAnsi="仿宋" w:eastAsia="仿宋"/>
          <w:b/>
          <w:color w:val="auto"/>
          <w:sz w:val="32"/>
          <w:szCs w:val="32"/>
          <w:highlight w:val="none"/>
        </w:rPr>
      </w:pPr>
      <w:bookmarkStart w:id="44" w:name="_Toc15377210"/>
      <w:r>
        <w:rPr>
          <w:rFonts w:hint="eastAsia" w:ascii="仿宋" w:hAnsi="仿宋" w:eastAsia="仿宋"/>
          <w:b/>
          <w:color w:val="auto"/>
          <w:sz w:val="32"/>
          <w:szCs w:val="32"/>
          <w:highlight w:val="none"/>
        </w:rPr>
        <w:t>（一）一般公共预算财政拨款支出决算总体情况</w:t>
      </w:r>
      <w:bookmarkEnd w:id="44"/>
    </w:p>
    <w:p>
      <w:pPr>
        <w:spacing w:line="600" w:lineRule="exact"/>
        <w:ind w:firstLine="640" w:firstLineChars="200"/>
        <w:rPr>
          <w:rFonts w:ascii="仿宋" w:hAnsi="仿宋" w:eastAsia="仿宋"/>
          <w:color w:val="auto"/>
          <w:sz w:val="32"/>
          <w:szCs w:val="32"/>
          <w:highlight w:val="yellow"/>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1520.73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1571.17</w:t>
      </w:r>
      <w:r>
        <w:rPr>
          <w:rFonts w:hint="eastAsia" w:ascii="仿宋" w:hAnsi="仿宋" w:eastAsia="仿宋"/>
          <w:color w:val="auto"/>
          <w:sz w:val="32"/>
          <w:szCs w:val="32"/>
          <w:highlight w:val="none"/>
        </w:rPr>
        <w:t>万元相比，一般公共预算财政拨款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50.44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就业创业补助资金比2021年减少120万元。</w:t>
      </w:r>
    </w:p>
    <w:p>
      <w:pPr>
        <w:spacing w:line="600" w:lineRule="exact"/>
        <w:ind w:firstLine="640" w:firstLineChars="200"/>
        <w:rPr>
          <w:rFonts w:ascii="仿宋" w:hAnsi="仿宋" w:eastAsia="仿宋"/>
          <w:color w:val="auto"/>
          <w:sz w:val="32"/>
          <w:szCs w:val="32"/>
          <w:highlight w:val="none"/>
        </w:rPr>
      </w:pPr>
      <w:r>
        <w:rPr>
          <w:rFonts w:hint="eastAsia" w:ascii="仿宋_GB2312" w:eastAsia="仿宋_GB2312"/>
          <w:color w:val="auto"/>
          <w:sz w:val="32"/>
          <w:szCs w:val="32"/>
          <w:lang w:eastAsia="zh-CN"/>
        </w:rPr>
        <w:drawing>
          <wp:anchor distT="0" distB="0" distL="114935" distR="114935" simplePos="0" relativeHeight="251662336" behindDoc="0" locked="0" layoutInCell="1" allowOverlap="1">
            <wp:simplePos x="0" y="0"/>
            <wp:positionH relativeFrom="column">
              <wp:posOffset>330835</wp:posOffset>
            </wp:positionH>
            <wp:positionV relativeFrom="paragraph">
              <wp:posOffset>46990</wp:posOffset>
            </wp:positionV>
            <wp:extent cx="4645025" cy="2140585"/>
            <wp:effectExtent l="4445" t="4445" r="11430" b="13970"/>
            <wp:wrapNone/>
            <wp:docPr id="32"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5" w:name="_Toc15377211"/>
      <w:r>
        <w:rPr>
          <w:rFonts w:hint="eastAsia" w:ascii="仿宋" w:hAnsi="仿宋" w:eastAsia="仿宋"/>
          <w:b/>
          <w:color w:val="auto"/>
          <w:sz w:val="32"/>
          <w:szCs w:val="32"/>
          <w:highlight w:val="none"/>
        </w:rPr>
        <w:t>（二）一般公共预算财政拨款支出决算结构情况</w:t>
      </w:r>
      <w:bookmarkEnd w:id="4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1520.73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1461.55万元，占</w:t>
      </w:r>
      <w:r>
        <w:rPr>
          <w:rFonts w:hint="eastAsia" w:ascii="仿宋" w:hAnsi="仿宋" w:eastAsia="仿宋"/>
          <w:color w:val="auto"/>
          <w:sz w:val="32"/>
          <w:szCs w:val="32"/>
          <w:highlight w:val="none"/>
          <w:lang w:val="en-US" w:eastAsia="zh-CN"/>
        </w:rPr>
        <w:t>96.11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10.97万元，占</w:t>
      </w:r>
      <w:r>
        <w:rPr>
          <w:rFonts w:hint="eastAsia" w:ascii="仿宋" w:hAnsi="仿宋" w:eastAsia="仿宋"/>
          <w:color w:val="auto"/>
          <w:sz w:val="32"/>
          <w:szCs w:val="32"/>
          <w:highlight w:val="none"/>
          <w:lang w:val="en-US" w:eastAsia="zh-CN"/>
        </w:rPr>
        <w:t>0.72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农林水支出</w:t>
      </w:r>
      <w:r>
        <w:rPr>
          <w:rFonts w:hint="eastAsia" w:ascii="仿宋" w:hAnsi="仿宋" w:eastAsia="仿宋"/>
          <w:color w:val="auto"/>
          <w:sz w:val="32"/>
          <w:szCs w:val="32"/>
          <w:highlight w:val="none"/>
          <w:lang w:val="en-US" w:eastAsia="zh-CN"/>
        </w:rPr>
        <w:t>40.52万元，占2.67%；</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7.69万元，占</w:t>
      </w:r>
      <w:r>
        <w:rPr>
          <w:rFonts w:hint="eastAsia" w:ascii="仿宋" w:hAnsi="仿宋" w:eastAsia="仿宋"/>
          <w:color w:val="auto"/>
          <w:sz w:val="32"/>
          <w:szCs w:val="32"/>
          <w:highlight w:val="none"/>
          <w:lang w:val="en-US" w:eastAsia="zh-CN"/>
        </w:rPr>
        <w:t>0.50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r>
        <w:rPr>
          <w:rFonts w:hint="eastAsia" w:ascii="仿宋_GB2312" w:eastAsia="仿宋_GB2312"/>
          <w:color w:val="000000"/>
          <w:sz w:val="32"/>
          <w:szCs w:val="32"/>
          <w:lang w:eastAsia="zh-CN"/>
        </w:rPr>
        <w:drawing>
          <wp:anchor distT="0" distB="0" distL="114300" distR="114300" simplePos="0" relativeHeight="251663360" behindDoc="0" locked="0" layoutInCell="1" allowOverlap="1">
            <wp:simplePos x="0" y="0"/>
            <wp:positionH relativeFrom="column">
              <wp:posOffset>349250</wp:posOffset>
            </wp:positionH>
            <wp:positionV relativeFrom="paragraph">
              <wp:posOffset>77470</wp:posOffset>
            </wp:positionV>
            <wp:extent cx="4426585" cy="2896235"/>
            <wp:effectExtent l="4445" t="4445" r="13970" b="762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6" w:name="_Toc15377212"/>
      <w:r>
        <w:rPr>
          <w:rFonts w:hint="eastAsia" w:ascii="仿宋" w:hAnsi="仿宋" w:eastAsia="仿宋"/>
          <w:b/>
          <w:color w:val="auto"/>
          <w:sz w:val="32"/>
          <w:szCs w:val="32"/>
          <w:highlight w:val="none"/>
        </w:rPr>
        <w:t>（三）一般公共预算财政拨款支出决算具体情况</w:t>
      </w:r>
      <w:bookmarkEnd w:id="46"/>
    </w:p>
    <w:p>
      <w:pPr>
        <w:spacing w:line="600" w:lineRule="exact"/>
        <w:ind w:firstLine="643" w:firstLineChars="200"/>
        <w:outlineLvl w:val="1"/>
        <w:rPr>
          <w:rFonts w:ascii="仿宋" w:hAnsi="仿宋" w:eastAsia="仿宋"/>
          <w:color w:val="auto"/>
          <w:sz w:val="32"/>
          <w:szCs w:val="32"/>
          <w:highlight w:val="none"/>
        </w:rPr>
      </w:pPr>
      <w:bookmarkStart w:id="47" w:name="_Toc25618"/>
      <w:bookmarkStart w:id="48" w:name="_Toc15377444"/>
      <w:bookmarkStart w:id="49" w:name="_Toc15378460"/>
      <w:bookmarkStart w:id="50"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1520.73</w:t>
      </w:r>
      <w:r>
        <w:rPr>
          <w:rFonts w:hint="eastAsia" w:ascii="仿宋" w:hAnsi="仿宋" w:eastAsia="仿宋"/>
          <w:color w:val="auto"/>
          <w:sz w:val="32"/>
          <w:szCs w:val="32"/>
          <w:highlight w:val="none"/>
        </w:rPr>
        <w:t>万元，</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7"/>
      <w:bookmarkEnd w:id="48"/>
      <w:bookmarkEnd w:id="49"/>
      <w:bookmarkEnd w:id="50"/>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社会保障和就业（类）人力资源和社会保障管理事务（款）</w:t>
      </w:r>
      <w:bookmarkStart w:id="114" w:name="_GoBack"/>
      <w:r>
        <w:rPr>
          <w:rStyle w:val="18"/>
          <w:rFonts w:hint="eastAsia" w:ascii="仿宋" w:hAnsi="仿宋" w:eastAsia="仿宋"/>
          <w:bCs/>
          <w:color w:val="auto"/>
          <w:sz w:val="32"/>
          <w:szCs w:val="32"/>
          <w:highlight w:val="none"/>
        </w:rPr>
        <w:t>就业管理</w:t>
      </w:r>
      <w:bookmarkEnd w:id="114"/>
      <w:r>
        <w:rPr>
          <w:rStyle w:val="18"/>
          <w:rFonts w:hint="eastAsia" w:ascii="仿宋" w:hAnsi="仿宋" w:eastAsia="仿宋"/>
          <w:bCs/>
          <w:color w:val="auto"/>
          <w:sz w:val="32"/>
          <w:szCs w:val="32"/>
          <w:highlight w:val="none"/>
        </w:rPr>
        <w:t>事务（项）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支出决算为28.09万元，完成预算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2.</w:t>
      </w:r>
      <w:r>
        <w:rPr>
          <w:rStyle w:val="18"/>
          <w:rFonts w:hint="eastAsia" w:ascii="仿宋" w:hAnsi="仿宋" w:eastAsia="仿宋"/>
          <w:bCs/>
          <w:color w:val="auto"/>
          <w:sz w:val="32"/>
          <w:szCs w:val="32"/>
          <w:highlight w:val="none"/>
        </w:rPr>
        <w:t>社会保障和就业（类）人力资源和社会保障管理事务（款）社会保险经办机构（项）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支出决算为145.29万元，完成预算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3.</w:t>
      </w:r>
      <w:r>
        <w:rPr>
          <w:rStyle w:val="18"/>
          <w:rFonts w:hint="eastAsia" w:ascii="仿宋" w:hAnsi="仿宋" w:eastAsia="仿宋"/>
          <w:bCs/>
          <w:color w:val="auto"/>
          <w:sz w:val="32"/>
          <w:szCs w:val="32"/>
          <w:highlight w:val="none"/>
        </w:rPr>
        <w:t>社会保障和就业（类）人力资源和社会保障管理事务（款）事业运行（项）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支出决算为7.2万元，完成预算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4.</w:t>
      </w:r>
      <w:r>
        <w:rPr>
          <w:rStyle w:val="18"/>
          <w:rFonts w:hint="eastAsia" w:ascii="仿宋" w:hAnsi="仿宋" w:eastAsia="仿宋"/>
          <w:bCs/>
          <w:color w:val="auto"/>
          <w:sz w:val="32"/>
          <w:szCs w:val="32"/>
          <w:highlight w:val="none"/>
        </w:rPr>
        <w:t>社会保障和就业（类）行政事业单位养老支出（款）行政单位离退休（项）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支出决算为24.91万元，完成预算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ascii="仿宋" w:hAnsi="仿宋" w:eastAsia="仿宋"/>
          <w:bCs/>
          <w:color w:val="auto"/>
          <w:sz w:val="32"/>
          <w:szCs w:val="32"/>
          <w:highlight w:val="none"/>
        </w:rPr>
        <w:t>5.</w:t>
      </w:r>
      <w:r>
        <w:rPr>
          <w:rStyle w:val="18"/>
          <w:rFonts w:hint="eastAsia" w:ascii="仿宋" w:hAnsi="仿宋" w:eastAsia="仿宋"/>
          <w:bCs/>
          <w:color w:val="auto"/>
          <w:sz w:val="32"/>
          <w:szCs w:val="32"/>
          <w:highlight w:val="none"/>
        </w:rPr>
        <w:t>社会保障和就业（类）行政事业单位养老支出（款）离退休人员管理机构（项）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支出决算为5万元，完成预算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6.</w:t>
      </w:r>
      <w:r>
        <w:rPr>
          <w:rStyle w:val="18"/>
          <w:rFonts w:hint="eastAsia" w:ascii="仿宋" w:hAnsi="仿宋" w:eastAsia="仿宋"/>
          <w:bCs/>
          <w:color w:val="auto"/>
          <w:sz w:val="32"/>
          <w:szCs w:val="32"/>
          <w:highlight w:val="none"/>
        </w:rPr>
        <w:t>社会保障和就业（类）行政事业单位养老支出（款）机关事业单位基本养老保险缴费支出（项）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支出决算为10.26万元，完成预算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hint="eastAsia" w:ascii="仿宋" w:hAnsi="仿宋" w:eastAsia="仿宋"/>
          <w:bCs/>
          <w:color w:val="auto"/>
          <w:sz w:val="32"/>
          <w:szCs w:val="32"/>
          <w:highlight w:val="none"/>
        </w:rPr>
        <w:t>社会保障和就业（类）就业补助（款）其他就业补助支出（项）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支出决算为1240万元，完成预算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8.</w:t>
      </w:r>
      <w:r>
        <w:rPr>
          <w:rStyle w:val="18"/>
          <w:rFonts w:hint="eastAsia" w:ascii="仿宋" w:hAnsi="仿宋" w:eastAsia="仿宋"/>
          <w:bCs/>
          <w:color w:val="auto"/>
          <w:sz w:val="32"/>
          <w:szCs w:val="32"/>
          <w:highlight w:val="none"/>
        </w:rPr>
        <w:t>社会保障和就业（类）残疾人事业（款）其他残疾人事业支出（项）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支出决算为0.8万元，完成预算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9</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（类）行政事业单位医疗（款）行政单位医疗（项）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支出决算为8.41万元，完成预算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10.</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（类）行政事业单位医疗（款）事业单位医疗（项）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支出决算为0.06万元，完成预算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3" w:firstLineChars="200"/>
        <w:rPr>
          <w:rStyle w:val="18"/>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11.</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（类）行政事业单位医疗（款）公务员医疗补助（项）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支出决算为2.5万元，完成预算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3" w:firstLineChars="200"/>
        <w:rPr>
          <w:rStyle w:val="18"/>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12.</w:t>
      </w:r>
      <w:r>
        <w:rPr>
          <w:rFonts w:hint="eastAsia" w:ascii="仿宋" w:hAnsi="仿宋" w:eastAsia="仿宋"/>
          <w:b/>
          <w:bCs/>
          <w:color w:val="auto"/>
          <w:sz w:val="32"/>
          <w:szCs w:val="32"/>
          <w:highlight w:val="none"/>
        </w:rPr>
        <w:t>农林水支出</w:t>
      </w:r>
      <w:r>
        <w:rPr>
          <w:rStyle w:val="18"/>
          <w:rFonts w:hint="eastAsia" w:ascii="仿宋" w:hAnsi="仿宋" w:eastAsia="仿宋"/>
          <w:bCs/>
          <w:color w:val="auto"/>
          <w:sz w:val="32"/>
          <w:szCs w:val="32"/>
          <w:highlight w:val="none"/>
        </w:rPr>
        <w:t>（类）巩固脱贫衔接乡村振兴（款）其他巩固脱贫衔接乡村振兴支出（项）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支出决算为40.52万元，完成预算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3" w:firstLineChars="200"/>
        <w:rPr>
          <w:rStyle w:val="18"/>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13.</w:t>
      </w:r>
      <w:r>
        <w:rPr>
          <w:rFonts w:hint="eastAsia" w:ascii="仿宋" w:hAnsi="仿宋" w:eastAsia="仿宋"/>
          <w:b/>
          <w:bCs/>
          <w:color w:val="auto"/>
          <w:sz w:val="32"/>
          <w:szCs w:val="32"/>
          <w:highlight w:val="none"/>
        </w:rPr>
        <w:t>住房保障支出</w:t>
      </w:r>
      <w:r>
        <w:rPr>
          <w:rStyle w:val="18"/>
          <w:rFonts w:hint="eastAsia" w:ascii="仿宋" w:hAnsi="仿宋" w:eastAsia="仿宋"/>
          <w:bCs/>
          <w:color w:val="auto"/>
          <w:sz w:val="32"/>
          <w:szCs w:val="32"/>
          <w:highlight w:val="none"/>
        </w:rPr>
        <w:t>（类）住房改革支出（款）住房公积金（项）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支出决算为7.69万元，完成预算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35"/>
          <w:color w:val="auto"/>
          <w:highlight w:val="none"/>
        </w:rPr>
      </w:pPr>
      <w:bookmarkStart w:id="51" w:name="_Toc20986"/>
      <w:bookmarkStart w:id="52" w:name="_Toc15396608"/>
      <w:bookmarkStart w:id="53"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5"/>
          <w:rFonts w:hint="eastAsia" w:ascii="黑体" w:hAnsi="黑体" w:eastAsia="黑体"/>
          <w:b w:val="0"/>
          <w:color w:val="auto"/>
          <w:highlight w:val="none"/>
        </w:rPr>
        <w:t>般公共预算财政拨款基本支出决算情况说明</w:t>
      </w:r>
      <w:bookmarkEnd w:id="51"/>
      <w:bookmarkEnd w:id="52"/>
      <w:bookmarkEnd w:id="53"/>
      <w:r>
        <w:rPr>
          <w:rStyle w:val="3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213.8</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197.19</w:t>
      </w:r>
      <w:r>
        <w:rPr>
          <w:rFonts w:hint="eastAsia" w:ascii="仿宋" w:hAnsi="仿宋" w:eastAsia="仿宋"/>
          <w:color w:val="auto"/>
          <w:sz w:val="32"/>
          <w:szCs w:val="32"/>
          <w:highlight w:val="none"/>
        </w:rPr>
        <w:t>万元，主要包括：基本工资、津贴补贴、奖金、绩效工资、机关事业单位基本养老保险缴费、职工基本医疗保险缴费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其他工资福利支出、对个人和家庭的补助等。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16.61</w:t>
      </w:r>
      <w:r>
        <w:rPr>
          <w:rFonts w:hint="eastAsia" w:ascii="仿宋" w:hAnsi="仿宋" w:eastAsia="仿宋"/>
          <w:color w:val="auto"/>
          <w:sz w:val="32"/>
          <w:szCs w:val="32"/>
          <w:highlight w:val="none"/>
        </w:rPr>
        <w:t>万元，主要包括：办公费、水费、邮电费、差旅费、维修（护）费、公务接待费、劳务费、工会经费、其他交通费、其他商品和服务支出等。</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35"/>
          <w:rFonts w:hint="eastAsia" w:ascii="黑体" w:hAnsi="黑体" w:eastAsia="黑体"/>
          <w:color w:val="auto"/>
          <w:highlight w:val="none"/>
          <w:lang w:val="en-US" w:eastAsia="zh-CN"/>
        </w:rPr>
      </w:pPr>
      <w:bookmarkStart w:id="54" w:name="_Toc3561"/>
      <w:bookmarkStart w:id="55" w:name="_Toc18184"/>
      <w:r>
        <w:rPr>
          <w:rStyle w:val="35"/>
          <w:rFonts w:hint="eastAsia" w:ascii="黑体" w:hAnsi="黑体" w:eastAsia="黑体"/>
          <w:b w:val="0"/>
          <w:bCs w:val="0"/>
          <w:color w:val="auto"/>
          <w:highlight w:val="none"/>
          <w:lang w:val="en-US" w:eastAsia="zh-CN"/>
        </w:rPr>
        <w:t>七、一般公共预算财政拨款项目支出决算情况说明</w:t>
      </w:r>
      <w:bookmarkEnd w:id="54"/>
      <w:bookmarkEnd w:id="55"/>
    </w:p>
    <w:p>
      <w:pPr>
        <w:spacing w:line="600" w:lineRule="exact"/>
        <w:ind w:firstLine="645"/>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年一般公共预算财政拨款</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1306.93</w:t>
      </w:r>
      <w:r>
        <w:rPr>
          <w:rFonts w:hint="eastAsia" w:ascii="仿宋" w:hAnsi="仿宋" w:eastAsia="仿宋"/>
          <w:color w:val="000000"/>
          <w:sz w:val="32"/>
          <w:szCs w:val="32"/>
        </w:rPr>
        <w:t>万元，其中：</w:t>
      </w:r>
      <w:r>
        <w:rPr>
          <w:rFonts w:hint="eastAsia" w:ascii="仿宋" w:hAnsi="仿宋" w:eastAsia="仿宋"/>
          <w:color w:val="000000"/>
          <w:sz w:val="32"/>
          <w:szCs w:val="32"/>
          <w:lang w:eastAsia="zh-CN"/>
        </w:rPr>
        <w:t>社会保障和就业支出</w:t>
      </w:r>
      <w:r>
        <w:rPr>
          <w:rFonts w:hint="eastAsia" w:ascii="仿宋" w:hAnsi="仿宋" w:eastAsia="仿宋"/>
          <w:color w:val="000000"/>
          <w:sz w:val="32"/>
          <w:szCs w:val="32"/>
          <w:lang w:val="en-US" w:eastAsia="zh-CN"/>
        </w:rPr>
        <w:t>1273.21万元、农林水支出33.72万元。</w:t>
      </w:r>
      <w:r>
        <w:rPr>
          <w:rFonts w:hint="eastAsia" w:ascii="仿宋" w:hAnsi="仿宋" w:eastAsia="仿宋"/>
          <w:color w:val="000000"/>
          <w:sz w:val="32"/>
          <w:szCs w:val="32"/>
          <w:lang w:eastAsia="zh-CN"/>
        </w:rPr>
        <w:t>主要用于：</w:t>
      </w:r>
      <w:r>
        <w:rPr>
          <w:rFonts w:hint="eastAsia" w:ascii="仿宋_GB2312" w:hAnsi="仿宋_GB2312" w:eastAsia="仿宋_GB2312" w:cs="仿宋_GB2312"/>
          <w:sz w:val="32"/>
          <w:szCs w:val="32"/>
          <w:lang w:val="en-US" w:eastAsia="zh-CN"/>
        </w:rPr>
        <w:t>就业创业补助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支出、巩固脱贫衔接乡村振兴支出。</w:t>
      </w:r>
    </w:p>
    <w:p>
      <w:pPr>
        <w:spacing w:line="600" w:lineRule="exact"/>
        <w:ind w:firstLine="640"/>
        <w:outlineLvl w:val="1"/>
        <w:rPr>
          <w:rStyle w:val="35"/>
          <w:rFonts w:ascii="黑体" w:hAnsi="黑体" w:eastAsia="黑体"/>
          <w:b w:val="0"/>
          <w:color w:val="auto"/>
          <w:highlight w:val="none"/>
        </w:rPr>
      </w:pPr>
      <w:bookmarkStart w:id="56" w:name="_Toc15396609"/>
      <w:bookmarkStart w:id="57" w:name="_Toc13249"/>
      <w:bookmarkStart w:id="58" w:name="_Toc15377215"/>
      <w:r>
        <w:rPr>
          <w:rFonts w:hint="eastAsia" w:ascii="黑体" w:eastAsia="黑体"/>
          <w:color w:val="auto"/>
          <w:sz w:val="32"/>
          <w:szCs w:val="32"/>
          <w:highlight w:val="none"/>
          <w:lang w:val="en-US" w:eastAsia="zh-CN"/>
        </w:rPr>
        <w:t>八</w:t>
      </w:r>
      <w:r>
        <w:rPr>
          <w:rFonts w:hint="eastAsia" w:ascii="黑体" w:eastAsia="黑体"/>
          <w:color w:val="auto"/>
          <w:sz w:val="32"/>
          <w:szCs w:val="32"/>
          <w:highlight w:val="none"/>
        </w:rPr>
        <w:t>、</w:t>
      </w:r>
      <w:r>
        <w:rPr>
          <w:rStyle w:val="35"/>
          <w:rFonts w:hint="eastAsia" w:ascii="黑体" w:hAnsi="黑体" w:eastAsia="黑体"/>
          <w:b w:val="0"/>
          <w:color w:val="auto"/>
          <w:highlight w:val="none"/>
        </w:rPr>
        <w:t>财政拨款</w:t>
      </w:r>
      <w:r>
        <w:rPr>
          <w:rStyle w:val="35"/>
          <w:rFonts w:hint="eastAsia" w:ascii="黑体" w:hAnsi="黑体" w:eastAsia="黑体"/>
          <w:color w:val="auto"/>
          <w:highlight w:val="none"/>
        </w:rPr>
        <w:t>“</w:t>
      </w:r>
      <w:r>
        <w:rPr>
          <w:rStyle w:val="35"/>
          <w:rFonts w:hint="eastAsia" w:ascii="黑体" w:hAnsi="黑体" w:eastAsia="黑体"/>
          <w:b w:val="0"/>
          <w:color w:val="auto"/>
          <w:highlight w:val="none"/>
        </w:rPr>
        <w:t>三公”经费支出决算情况说明</w:t>
      </w:r>
      <w:bookmarkEnd w:id="56"/>
      <w:bookmarkEnd w:id="57"/>
      <w:bookmarkEnd w:id="58"/>
    </w:p>
    <w:p>
      <w:pPr>
        <w:spacing w:line="600" w:lineRule="exact"/>
        <w:ind w:firstLine="640"/>
        <w:outlineLvl w:val="2"/>
        <w:rPr>
          <w:rFonts w:ascii="仿宋" w:hAnsi="仿宋" w:eastAsia="仿宋"/>
          <w:b/>
          <w:color w:val="auto"/>
          <w:sz w:val="32"/>
          <w:szCs w:val="32"/>
          <w:highlight w:val="none"/>
        </w:rPr>
      </w:pPr>
      <w:bookmarkStart w:id="59" w:name="_Toc15377216"/>
      <w:r>
        <w:rPr>
          <w:rFonts w:hint="eastAsia" w:ascii="仿宋" w:hAnsi="仿宋" w:eastAsia="仿宋"/>
          <w:b/>
          <w:color w:val="auto"/>
          <w:sz w:val="32"/>
          <w:szCs w:val="32"/>
          <w:highlight w:val="none"/>
        </w:rPr>
        <w:t>（一）“三公”经费财政拨款支出决算总体情况说明</w:t>
      </w:r>
      <w:bookmarkEnd w:id="59"/>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年“三公”经费财政拨款支出决算为0.19万元，完成预算</w:t>
      </w:r>
      <w:r>
        <w:rPr>
          <w:rFonts w:hint="eastAsia" w:ascii="仿宋" w:hAnsi="仿宋" w:eastAsia="仿宋"/>
          <w:color w:val="auto"/>
          <w:sz w:val="32"/>
          <w:szCs w:val="32"/>
          <w:highlight w:val="none"/>
          <w:lang w:val="en-US" w:eastAsia="zh-CN"/>
        </w:rPr>
        <w:t>59.4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减少0.21万元，下降52.5%。</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val="en-US" w:eastAsia="zh-CN"/>
        </w:rPr>
        <w:t>厉行节约，减少接待，公务接待费有所减少</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60" w:name="_Toc15377217"/>
      <w:r>
        <w:rPr>
          <w:rFonts w:hint="eastAsia" w:ascii="仿宋" w:hAnsi="仿宋" w:eastAsia="仿宋"/>
          <w:b/>
          <w:color w:val="auto"/>
          <w:sz w:val="32"/>
          <w:szCs w:val="32"/>
          <w:highlight w:val="none"/>
        </w:rPr>
        <w:t>（二）“三公”经费财政拨款支出决算具体情况说明</w:t>
      </w:r>
      <w:bookmarkEnd w:id="60"/>
    </w:p>
    <w:p>
      <w:pPr>
        <w:spacing w:line="600" w:lineRule="exact"/>
        <w:ind w:firstLine="640"/>
      </w:pPr>
      <w:r>
        <w:rPr>
          <w:rFonts w:ascii="仿宋" w:hAnsi="仿宋" w:eastAsia="仿宋"/>
          <w:color w:val="auto"/>
          <w:sz w:val="32"/>
          <w:szCs w:val="32"/>
          <w:highlight w:val="yellow"/>
        </w:rPr>
        <w:t>20</w:t>
      </w:r>
      <w:r>
        <w:rPr>
          <w:rFonts w:hint="eastAsia" w:ascii="仿宋" w:hAnsi="仿宋" w:eastAsia="仿宋"/>
          <w:color w:val="auto"/>
          <w:sz w:val="32"/>
          <w:szCs w:val="32"/>
          <w:highlight w:val="yellow"/>
          <w:lang w:val="en-US" w:eastAsia="zh-CN"/>
        </w:rPr>
        <w:t>22</w:t>
      </w:r>
      <w:r>
        <w:rPr>
          <w:rFonts w:hint="eastAsia" w:ascii="仿宋" w:hAnsi="仿宋" w:eastAsia="仿宋"/>
          <w:color w:val="auto"/>
          <w:sz w:val="32"/>
          <w:szCs w:val="32"/>
          <w:highlight w:val="yellow"/>
        </w:rPr>
        <w:t>年“三公”经费财政拨款支出为0.19万元，</w:t>
      </w:r>
      <w:r>
        <w:rPr>
          <w:rFonts w:hint="eastAsia" w:ascii="仿宋" w:hAnsi="仿宋" w:eastAsia="仿宋"/>
          <w:color w:val="auto"/>
          <w:sz w:val="32"/>
          <w:szCs w:val="32"/>
          <w:highlight w:val="yellow"/>
          <w:lang w:eastAsia="zh-CN"/>
        </w:rPr>
        <w:t>较上年</w:t>
      </w:r>
      <w:r>
        <w:rPr>
          <w:rFonts w:hint="eastAsia" w:ascii="仿宋" w:hAnsi="仿宋" w:eastAsia="仿宋"/>
          <w:color w:val="auto"/>
          <w:sz w:val="32"/>
          <w:szCs w:val="32"/>
          <w:highlight w:val="yellow"/>
          <w:lang w:val="en-US" w:eastAsia="zh-CN"/>
        </w:rPr>
        <w:t>减少0.21万元，下降52.5%，</w:t>
      </w:r>
      <w:r>
        <w:rPr>
          <w:rFonts w:hint="eastAsia" w:ascii="仿宋" w:hAnsi="仿宋" w:eastAsia="仿宋"/>
          <w:color w:val="auto"/>
          <w:sz w:val="32"/>
          <w:szCs w:val="32"/>
          <w:highlight w:val="yellow"/>
        </w:rPr>
        <w:t>主要原因是</w:t>
      </w:r>
      <w:r>
        <w:rPr>
          <w:rFonts w:hint="eastAsia" w:ascii="仿宋" w:hAnsi="仿宋" w:eastAsia="仿宋"/>
          <w:color w:val="auto"/>
          <w:sz w:val="32"/>
          <w:szCs w:val="32"/>
          <w:highlight w:val="yellow"/>
          <w:lang w:val="en-US" w:eastAsia="zh-CN"/>
        </w:rPr>
        <w:t>厉行节约，减少接待，公务接待费有所减少</w:t>
      </w:r>
      <w:r>
        <w:rPr>
          <w:rFonts w:hint="eastAsia" w:ascii="仿宋" w:hAnsi="仿宋" w:eastAsia="仿宋"/>
          <w:color w:val="auto"/>
          <w:sz w:val="32"/>
          <w:szCs w:val="32"/>
          <w:highlight w:val="yellow"/>
        </w:rPr>
        <w:t>。</w:t>
      </w:r>
      <w:r>
        <w:rPr>
          <w:rFonts w:ascii="仿宋" w:hAnsi="仿宋" w:eastAsia="仿宋"/>
          <w:color w:val="auto"/>
          <w:sz w:val="32"/>
          <w:szCs w:val="32"/>
          <w:highlight w:val="yellow"/>
        </w:rPr>
        <w:t>20</w:t>
      </w:r>
      <w:r>
        <w:rPr>
          <w:rFonts w:hint="eastAsia" w:ascii="仿宋" w:hAnsi="仿宋" w:eastAsia="仿宋"/>
          <w:color w:val="auto"/>
          <w:sz w:val="32"/>
          <w:szCs w:val="32"/>
          <w:highlight w:val="yellow"/>
          <w:lang w:val="en-US" w:eastAsia="zh-CN"/>
        </w:rPr>
        <w:t>22</w:t>
      </w:r>
      <w:r>
        <w:rPr>
          <w:rFonts w:hint="eastAsia" w:ascii="仿宋" w:hAnsi="仿宋" w:eastAsia="仿宋"/>
          <w:color w:val="auto"/>
          <w:sz w:val="32"/>
          <w:szCs w:val="32"/>
          <w:highlight w:val="yellow"/>
        </w:rPr>
        <w:t>年“三公”经费财政拨款支出决算</w:t>
      </w:r>
      <w:r>
        <w:rPr>
          <w:rFonts w:hint="eastAsia" w:ascii="仿宋" w:hAnsi="仿宋" w:eastAsia="仿宋"/>
          <w:color w:val="auto"/>
          <w:sz w:val="32"/>
          <w:szCs w:val="32"/>
          <w:highlight w:val="yellow"/>
          <w:lang w:val="en-US" w:eastAsia="zh-CN"/>
        </w:rPr>
        <w:t>其</w:t>
      </w:r>
      <w:r>
        <w:rPr>
          <w:rFonts w:hint="eastAsia" w:ascii="仿宋" w:hAnsi="仿宋" w:eastAsia="仿宋"/>
          <w:color w:val="auto"/>
          <w:sz w:val="32"/>
          <w:szCs w:val="32"/>
          <w:highlight w:val="yellow"/>
        </w:rPr>
        <w:t>中</w:t>
      </w:r>
      <w:r>
        <w:rPr>
          <w:rFonts w:hint="eastAsia" w:ascii="仿宋" w:hAnsi="仿宋" w:eastAsia="仿宋"/>
          <w:color w:val="auto"/>
          <w:sz w:val="32"/>
          <w:szCs w:val="32"/>
          <w:highlight w:val="yellow"/>
          <w:lang w:eastAsia="zh-CN"/>
        </w:rPr>
        <w:t>：</w:t>
      </w:r>
      <w:r>
        <w:rPr>
          <w:rFonts w:hint="eastAsia" w:ascii="仿宋" w:hAnsi="仿宋" w:eastAsia="仿宋"/>
          <w:color w:val="auto"/>
          <w:sz w:val="32"/>
          <w:szCs w:val="32"/>
          <w:highlight w:val="none"/>
        </w:rPr>
        <w:t>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ascii="仿宋" w:hAnsi="仿宋" w:eastAsia="仿宋"/>
          <w:color w:val="auto"/>
          <w:sz w:val="32"/>
          <w:szCs w:val="32"/>
          <w:highlight w:val="none"/>
        </w:rPr>
      </w:pPr>
      <w:r>
        <w:rPr>
          <w:rFonts w:hint="eastAsia" w:ascii="仿宋" w:hAnsi="仿宋" w:eastAsia="仿宋"/>
          <w:color w:val="000000"/>
          <w:sz w:val="32"/>
          <w:szCs w:val="32"/>
          <w:lang w:eastAsia="zh-CN"/>
        </w:rPr>
        <w:drawing>
          <wp:anchor distT="0" distB="0" distL="114300" distR="114300" simplePos="0" relativeHeight="251664384" behindDoc="0" locked="0" layoutInCell="1" allowOverlap="1">
            <wp:simplePos x="0" y="0"/>
            <wp:positionH relativeFrom="column">
              <wp:posOffset>-142875</wp:posOffset>
            </wp:positionH>
            <wp:positionV relativeFrom="paragraph">
              <wp:posOffset>64135</wp:posOffset>
            </wp:positionV>
            <wp:extent cx="5080000" cy="3049270"/>
            <wp:effectExtent l="4445" t="4445" r="8255" b="6985"/>
            <wp:wrapTopAndBottom/>
            <wp:docPr id="34"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（图7：“三公”经费财政拨款支出结构）（饼状图）</w:t>
      </w:r>
    </w:p>
    <w:p>
      <w:pPr>
        <w:numPr>
          <w:ilvl w:val="0"/>
          <w:numId w:val="0"/>
        </w:numPr>
        <w:spacing w:line="600" w:lineRule="exact"/>
        <w:ind w:firstLine="640" w:firstLineChars="0"/>
        <w:rPr>
          <w:rFonts w:hint="eastAsia" w:ascii="仿宋_GB2312" w:eastAsia="仿宋_GB2312"/>
          <w:color w:val="auto"/>
          <w:sz w:val="32"/>
          <w:szCs w:val="32"/>
          <w:highlight w:val="none"/>
        </w:rPr>
      </w:pPr>
      <w:r>
        <w:rPr>
          <w:rFonts w:hint="eastAsia" w:ascii="仿宋_GB2312" w:hAnsi="Times New Roman" w:eastAsia="仿宋_GB2312" w:cs="Times New Roman"/>
          <w:color w:val="auto"/>
          <w:kern w:val="2"/>
          <w:sz w:val="32"/>
          <w:szCs w:val="32"/>
          <w:lang w:val="en-US" w:eastAsia="zh-CN" w:bidi="ar-SA"/>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一致</w:t>
      </w:r>
      <w:r>
        <w:rPr>
          <w:rFonts w:hint="eastAsia" w:ascii="仿宋_GB2312" w:eastAsia="仿宋_GB2312"/>
          <w:color w:val="auto"/>
          <w:sz w:val="32"/>
          <w:szCs w:val="32"/>
          <w:highlight w:val="none"/>
        </w:rPr>
        <w:t>，增长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numPr>
          <w:ilvl w:val="0"/>
          <w:numId w:val="0"/>
        </w:num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一致</w:t>
      </w:r>
      <w:r>
        <w:rPr>
          <w:rFonts w:hint="eastAsia" w:ascii="仿宋_GB2312" w:eastAsia="仿宋_GB2312"/>
          <w:color w:val="auto"/>
          <w:sz w:val="32"/>
          <w:szCs w:val="32"/>
          <w:highlight w:val="none"/>
        </w:rPr>
        <w:t>，增长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0.19</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59.4</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0.21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公务接待费有所减少</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0.19</w:t>
      </w:r>
      <w:r>
        <w:rPr>
          <w:rFonts w:hint="eastAsia" w:ascii="仿宋_GB2312" w:eastAsia="仿宋_GB2312"/>
          <w:color w:val="auto"/>
          <w:sz w:val="32"/>
          <w:szCs w:val="32"/>
          <w:highlight w:val="none"/>
        </w:rPr>
        <w:t>万元，主要用于</w:t>
      </w:r>
      <w:r>
        <w:rPr>
          <w:rFonts w:hint="eastAsia" w:ascii="仿宋_GB2312" w:eastAsia="仿宋_GB2312"/>
          <w:color w:val="000000"/>
          <w:sz w:val="32"/>
          <w:szCs w:val="32"/>
        </w:rPr>
        <w:t>执行公务、</w:t>
      </w:r>
      <w:r>
        <w:rPr>
          <w:rFonts w:hint="default" w:ascii="Times New Roman" w:hAnsi="Times New Roman" w:eastAsia="方正仿宋_GBK" w:cs="Times New Roman"/>
          <w:bCs/>
          <w:color w:val="000000"/>
          <w:sz w:val="33"/>
          <w:szCs w:val="33"/>
        </w:rPr>
        <w:t>迎接上级检查、</w:t>
      </w:r>
      <w:r>
        <w:rPr>
          <w:rFonts w:hint="eastAsia" w:ascii="仿宋_GB2312" w:eastAsia="仿宋_GB2312"/>
          <w:color w:val="000000"/>
          <w:sz w:val="32"/>
          <w:szCs w:val="32"/>
        </w:rPr>
        <w:t>开展</w:t>
      </w:r>
      <w:r>
        <w:rPr>
          <w:rFonts w:hint="eastAsia" w:ascii="仿宋_GB2312" w:eastAsia="仿宋_GB2312"/>
          <w:color w:val="000000"/>
          <w:sz w:val="32"/>
          <w:szCs w:val="32"/>
          <w:lang w:val="en-US" w:eastAsia="zh-CN"/>
        </w:rPr>
        <w:t>培训调研活动</w:t>
      </w:r>
      <w:r>
        <w:rPr>
          <w:rFonts w:hint="eastAsia" w:ascii="仿宋_GB2312" w:eastAsia="仿宋_GB2312"/>
          <w:color w:val="000000"/>
          <w:sz w:val="32"/>
          <w:szCs w:val="32"/>
        </w:rPr>
        <w:t>开支的用餐费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0.19</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南浔区赴广安区开展人才推介会接待费0.12万元；归垫原协兴园区支出的接待费0.07万元</w:t>
      </w:r>
      <w:r>
        <w:rPr>
          <w:rFonts w:hint="eastAsia" w:ascii="仿宋_GB2312" w:eastAsia="仿宋_GB2312"/>
          <w:color w:val="auto"/>
          <w:sz w:val="32"/>
          <w:szCs w:val="32"/>
          <w:highlight w:val="none"/>
        </w:rPr>
        <w:t>。</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61" w:name="_Toc15377218"/>
      <w:bookmarkStart w:id="62" w:name="_Toc15396610"/>
    </w:p>
    <w:p>
      <w:pPr>
        <w:spacing w:line="600" w:lineRule="exact"/>
        <w:ind w:firstLine="640"/>
        <w:outlineLvl w:val="1"/>
        <w:rPr>
          <w:rStyle w:val="35"/>
          <w:rFonts w:ascii="黑体" w:hAnsi="黑体" w:eastAsia="黑体"/>
          <w:color w:val="auto"/>
          <w:highlight w:val="none"/>
        </w:rPr>
      </w:pPr>
      <w:bookmarkStart w:id="63" w:name="_Toc12636"/>
      <w:r>
        <w:rPr>
          <w:rFonts w:hint="eastAsia" w:ascii="黑体" w:eastAsia="黑体"/>
          <w:color w:val="auto"/>
          <w:sz w:val="32"/>
          <w:szCs w:val="32"/>
          <w:highlight w:val="none"/>
          <w:lang w:val="en-US" w:eastAsia="zh-CN"/>
        </w:rPr>
        <w:t>九</w:t>
      </w:r>
      <w:r>
        <w:rPr>
          <w:rFonts w:hint="eastAsia" w:ascii="黑体" w:eastAsia="黑体"/>
          <w:color w:val="auto"/>
          <w:sz w:val="32"/>
          <w:szCs w:val="32"/>
          <w:highlight w:val="none"/>
        </w:rPr>
        <w:t>、</w:t>
      </w:r>
      <w:r>
        <w:rPr>
          <w:rStyle w:val="35"/>
          <w:rFonts w:hint="eastAsia" w:ascii="黑体" w:hAnsi="黑体" w:eastAsia="黑体"/>
          <w:b w:val="0"/>
          <w:color w:val="auto"/>
          <w:highlight w:val="none"/>
        </w:rPr>
        <w:t>政府性基金预算支出决算情况说明</w:t>
      </w:r>
      <w:bookmarkEnd w:id="61"/>
      <w:bookmarkEnd w:id="62"/>
      <w:bookmarkEnd w:id="6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0"/>
        </w:numPr>
        <w:spacing w:line="600" w:lineRule="exact"/>
        <w:ind w:firstLine="640" w:firstLineChars="0"/>
        <w:outlineLvl w:val="1"/>
        <w:rPr>
          <w:rStyle w:val="35"/>
          <w:rFonts w:ascii="黑体" w:hAnsi="黑体" w:eastAsia="黑体"/>
          <w:b w:val="0"/>
          <w:color w:val="auto"/>
          <w:highlight w:val="none"/>
        </w:rPr>
      </w:pPr>
      <w:bookmarkStart w:id="64" w:name="_Toc14054"/>
      <w:bookmarkStart w:id="65" w:name="_Toc15396611"/>
      <w:bookmarkStart w:id="66" w:name="_Toc15377219"/>
      <w:r>
        <w:rPr>
          <w:rFonts w:hint="eastAsia" w:ascii="黑体" w:hAnsi="黑体" w:eastAsia="黑体" w:cstheme="majorBidi"/>
          <w:b w:val="0"/>
          <w:bCs/>
          <w:color w:val="auto"/>
          <w:kern w:val="2"/>
          <w:sz w:val="32"/>
          <w:szCs w:val="32"/>
          <w:lang w:val="en-US" w:eastAsia="zh-CN" w:bidi="ar-SA"/>
        </w:rPr>
        <w:t>十、</w:t>
      </w:r>
      <w:r>
        <w:rPr>
          <w:rStyle w:val="35"/>
          <w:rFonts w:hint="eastAsia" w:ascii="黑体" w:hAnsi="黑体" w:eastAsia="黑体"/>
          <w:b w:val="0"/>
          <w:color w:val="auto"/>
          <w:highlight w:val="none"/>
        </w:rPr>
        <w:t>国有资本经营预算支出决算情况说明</w:t>
      </w:r>
      <w:bookmarkEnd w:id="64"/>
      <w:bookmarkEnd w:id="65"/>
      <w:bookmarkEnd w:id="66"/>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0"/>
        </w:numPr>
        <w:spacing w:line="600" w:lineRule="exact"/>
        <w:ind w:firstLine="640" w:firstLineChars="0"/>
        <w:outlineLvl w:val="1"/>
        <w:rPr>
          <w:rStyle w:val="35"/>
          <w:rFonts w:hint="eastAsia" w:ascii="黑体" w:hAnsi="黑体" w:eastAsia="黑体"/>
          <w:b w:val="0"/>
          <w:color w:val="auto"/>
          <w:highlight w:val="none"/>
          <w:lang w:eastAsia="zh-CN"/>
        </w:rPr>
      </w:pPr>
      <w:bookmarkStart w:id="67" w:name="_Toc15396612"/>
      <w:bookmarkStart w:id="68" w:name="_Toc15377221"/>
      <w:bookmarkStart w:id="69" w:name="_Toc3622"/>
      <w:r>
        <w:rPr>
          <w:rFonts w:hint="eastAsia" w:ascii="黑体" w:hAnsi="黑体" w:eastAsia="黑体" w:cstheme="majorBidi"/>
          <w:b w:val="0"/>
          <w:bCs/>
          <w:color w:val="auto"/>
          <w:kern w:val="2"/>
          <w:sz w:val="32"/>
          <w:szCs w:val="32"/>
          <w:lang w:val="en-US" w:eastAsia="zh-CN" w:bidi="ar-SA"/>
        </w:rPr>
        <w:t>十一、</w:t>
      </w:r>
      <w:r>
        <w:rPr>
          <w:rStyle w:val="35"/>
          <w:rFonts w:hint="eastAsia" w:ascii="黑体" w:hAnsi="黑体" w:eastAsia="黑体"/>
          <w:b w:val="0"/>
          <w:color w:val="auto"/>
          <w:highlight w:val="none"/>
        </w:rPr>
        <w:t>其他重要事项的情况说明</w:t>
      </w:r>
      <w:bookmarkEnd w:id="67"/>
      <w:bookmarkEnd w:id="68"/>
      <w:r>
        <w:rPr>
          <w:rStyle w:val="35"/>
          <w:rFonts w:hint="eastAsia" w:ascii="黑体" w:hAnsi="黑体" w:eastAsia="黑体"/>
          <w:b w:val="0"/>
          <w:color w:val="auto"/>
          <w:highlight w:val="none"/>
          <w:lang w:eastAsia="zh-CN"/>
        </w:rPr>
        <w:t>（</w:t>
      </w:r>
      <w:r>
        <w:rPr>
          <w:rStyle w:val="35"/>
          <w:rFonts w:hint="eastAsia" w:ascii="黑体" w:hAnsi="黑体" w:eastAsia="黑体"/>
          <w:b w:val="0"/>
          <w:color w:val="auto"/>
          <w:highlight w:val="none"/>
          <w:lang w:val="en-US" w:eastAsia="zh-CN"/>
        </w:rPr>
        <w:t>这里在哪里看数据，我没找到</w:t>
      </w:r>
      <w:r>
        <w:rPr>
          <w:rStyle w:val="35"/>
          <w:rFonts w:hint="eastAsia" w:ascii="黑体" w:hAnsi="黑体" w:eastAsia="黑体"/>
          <w:b w:val="0"/>
          <w:color w:val="auto"/>
          <w:highlight w:val="none"/>
          <w:lang w:eastAsia="zh-CN"/>
        </w:rPr>
        <w:t>）</w:t>
      </w:r>
      <w:bookmarkEnd w:id="69"/>
    </w:p>
    <w:p>
      <w:pPr>
        <w:spacing w:line="600" w:lineRule="exact"/>
        <w:ind w:firstLine="643" w:firstLineChars="200"/>
        <w:outlineLvl w:val="2"/>
        <w:rPr>
          <w:rFonts w:ascii="仿宋" w:hAnsi="仿宋" w:eastAsia="仿宋"/>
          <w:color w:val="auto"/>
          <w:sz w:val="32"/>
          <w:szCs w:val="32"/>
          <w:highlight w:val="none"/>
        </w:rPr>
      </w:pPr>
      <w:bookmarkStart w:id="70" w:name="_Toc15377222"/>
      <w:r>
        <w:rPr>
          <w:rFonts w:hint="eastAsia" w:ascii="仿宋" w:hAnsi="仿宋" w:eastAsia="仿宋"/>
          <w:b/>
          <w:color w:val="auto"/>
          <w:sz w:val="32"/>
          <w:szCs w:val="32"/>
          <w:highlight w:val="none"/>
        </w:rPr>
        <w:t>（一）机关运行经费支出情况</w:t>
      </w:r>
      <w:bookmarkEnd w:id="70"/>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广安区就业服务管理局</w:t>
      </w:r>
      <w:r>
        <w:rPr>
          <w:rFonts w:hint="eastAsia" w:ascii="仿宋_GB2312" w:eastAsia="仿宋_GB2312"/>
          <w:color w:val="auto"/>
          <w:sz w:val="32"/>
          <w:szCs w:val="32"/>
          <w:highlight w:val="none"/>
        </w:rPr>
        <w:t>机关运行经费支出16.61万元，比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28.76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63.4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节约开支</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1" w:name="_Toc15377223"/>
      <w:r>
        <w:rPr>
          <w:rFonts w:hint="eastAsia" w:ascii="仿宋" w:hAnsi="仿宋" w:eastAsia="仿宋"/>
          <w:b/>
          <w:color w:val="auto"/>
          <w:sz w:val="32"/>
          <w:szCs w:val="32"/>
          <w:highlight w:val="none"/>
        </w:rPr>
        <w:t>（二）政府采购支出情况</w:t>
      </w:r>
      <w:bookmarkEnd w:id="7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广安市广安区就业服务管理局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2" w:name="_Toc15377224"/>
      <w:r>
        <w:rPr>
          <w:rFonts w:hint="eastAsia" w:ascii="仿宋" w:hAnsi="仿宋" w:eastAsia="仿宋"/>
          <w:b/>
          <w:color w:val="auto"/>
          <w:sz w:val="32"/>
          <w:szCs w:val="32"/>
          <w:highlight w:val="none"/>
        </w:rPr>
        <w:t>（三）国有资产占有使用情况</w:t>
      </w:r>
      <w:bookmarkEnd w:id="72"/>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广安市广安区就业服务管理局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eastAsia="仿宋_GB2312"/>
          <w:color w:val="auto"/>
          <w:sz w:val="32"/>
          <w:szCs w:val="32"/>
          <w:highlight w:val="none"/>
          <w:lang w:val="en-US" w:eastAsia="zh-CN"/>
        </w:rPr>
        <w:t>广安市广安区就业服务管理局</w:t>
      </w:r>
      <w:r>
        <w:rPr>
          <w:rFonts w:hint="eastAsia" w:ascii="仿宋_GB2312" w:hAnsi="仿宋_GB2312" w:eastAsia="仿宋_GB2312" w:cs="仿宋_GB2312"/>
          <w:color w:val="auto"/>
          <w:sz w:val="32"/>
          <w:szCs w:val="32"/>
          <w:highlight w:val="none"/>
        </w:rPr>
        <w:t>部门整体（含部门预算项目）绩效自评报告，其中，</w:t>
      </w:r>
      <w:r>
        <w:rPr>
          <w:rFonts w:hint="eastAsia" w:ascii="仿宋_GB2312" w:eastAsia="仿宋_GB2312"/>
          <w:color w:val="auto"/>
          <w:sz w:val="32"/>
          <w:szCs w:val="32"/>
          <w:highlight w:val="none"/>
          <w:lang w:val="en-US" w:eastAsia="zh-CN"/>
        </w:rPr>
        <w:t>广安市广安区就业服务管理局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分，绩效自评综述：</w:t>
      </w:r>
      <w:r>
        <w:rPr>
          <w:rFonts w:hint="eastAsia" w:ascii="Times New Roman" w:hAnsi="Times New Roman" w:eastAsia="方正仿宋_GBK" w:cs="Times New Roman"/>
          <w:kern w:val="2"/>
          <w:sz w:val="33"/>
          <w:szCs w:val="33"/>
          <w:lang w:val="en-US" w:eastAsia="zh-CN" w:bidi="ar-SA"/>
        </w:rPr>
        <w:t>202</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en-US" w:eastAsia="zh-CN" w:bidi="ar-SA"/>
        </w:rPr>
        <w:t>年，在区委、区政府和区人社局的正确领导以及上级业务部门的具体指导下，我区就业创业服务各项工作整体呈现稳中有升、高位求进的良好发展态势，圆满完成了各项年度目标任务，为我区经济发展和社会稳定做出积极贡献</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Fonts w:ascii="宋体"/>
          <w:b/>
          <w:color w:val="auto"/>
          <w:sz w:val="44"/>
          <w:szCs w:val="44"/>
          <w:highlight w:val="none"/>
        </w:rPr>
      </w:pPr>
      <w:bookmarkStart w:id="73" w:name="_Toc15377225"/>
      <w:bookmarkStart w:id="74" w:name="_Toc26625"/>
      <w:bookmarkStart w:id="75" w:name="_Toc15396613"/>
      <w:r>
        <w:rPr>
          <w:rFonts w:hint="eastAsia" w:ascii="黑体" w:hAnsi="黑体" w:eastAsia="黑体"/>
          <w:color w:val="auto"/>
          <w:sz w:val="44"/>
          <w:szCs w:val="44"/>
          <w:highlight w:val="none"/>
        </w:rPr>
        <w:t>名</w:t>
      </w:r>
      <w:r>
        <w:rPr>
          <w:rStyle w:val="34"/>
          <w:rFonts w:hint="eastAsia" w:ascii="黑体" w:hAnsi="黑体" w:eastAsia="黑体"/>
          <w:b w:val="0"/>
          <w:color w:val="auto"/>
          <w:highlight w:val="none"/>
        </w:rPr>
        <w:t>词解释</w:t>
      </w:r>
      <w:bookmarkEnd w:id="73"/>
      <w:bookmarkEnd w:id="74"/>
      <w:bookmarkEnd w:id="75"/>
    </w:p>
    <w:p>
      <w:pPr>
        <w:pStyle w:val="2"/>
      </w:pPr>
    </w:p>
    <w:p>
      <w:pPr>
        <w:pStyle w:val="32"/>
        <w:spacing w:line="560" w:lineRule="exact"/>
        <w:ind w:firstLine="640" w:firstLineChars="200"/>
        <w:outlineLvl w:val="1"/>
        <w:rPr>
          <w:rFonts w:ascii="仿宋_GB2312" w:eastAsia="仿宋_GB2312"/>
          <w:color w:val="auto"/>
          <w:sz w:val="32"/>
          <w:szCs w:val="32"/>
          <w:highlight w:val="none"/>
        </w:rPr>
      </w:pPr>
      <w:bookmarkStart w:id="76" w:name="_Toc13835"/>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76"/>
    </w:p>
    <w:p>
      <w:pPr>
        <w:pStyle w:val="3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32"/>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32"/>
        <w:spacing w:line="560" w:lineRule="exact"/>
        <w:ind w:firstLine="640" w:firstLineChars="200"/>
        <w:outlineLvl w:val="1"/>
        <w:rPr>
          <w:rFonts w:ascii="仿宋_GB2312" w:eastAsia="仿宋_GB2312"/>
          <w:color w:val="auto"/>
          <w:sz w:val="32"/>
          <w:szCs w:val="32"/>
          <w:highlight w:val="none"/>
        </w:rPr>
      </w:pPr>
      <w:bookmarkStart w:id="77" w:name="_Toc2504"/>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77"/>
      <w:r>
        <w:rPr>
          <w:rFonts w:ascii="仿宋_GB2312" w:eastAsia="仿宋_GB2312"/>
          <w:color w:val="auto"/>
          <w:sz w:val="32"/>
          <w:szCs w:val="32"/>
          <w:highlight w:val="none"/>
        </w:rPr>
        <w:t xml:space="preserve"> </w:t>
      </w:r>
    </w:p>
    <w:p>
      <w:pPr>
        <w:pStyle w:val="3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3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3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3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社会保障和就业（类）</w:t>
      </w:r>
      <w:r>
        <w:rPr>
          <w:rFonts w:hint="eastAsia" w:ascii="仿宋_GB2312" w:eastAsia="仿宋_GB2312"/>
          <w:color w:val="auto"/>
          <w:sz w:val="32"/>
          <w:highlight w:val="none"/>
        </w:rPr>
        <w:t>人力资源和社会保障管理事务</w:t>
      </w:r>
      <w:r>
        <w:rPr>
          <w:rFonts w:hint="eastAsia" w:ascii="仿宋_GB2312" w:eastAsia="仿宋_GB2312"/>
          <w:color w:val="auto"/>
          <w:sz w:val="32"/>
          <w:szCs w:val="32"/>
          <w:highlight w:val="none"/>
        </w:rPr>
        <w:t>（款）就业管理事务（项）：指</w:t>
      </w:r>
      <w:r>
        <w:rPr>
          <w:rFonts w:hint="eastAsia" w:ascii="仿宋_GB2312" w:eastAsia="仿宋_GB2312"/>
          <w:color w:val="auto"/>
          <w:sz w:val="32"/>
          <w:szCs w:val="32"/>
          <w:highlight w:val="none"/>
          <w:lang w:val="en-US" w:eastAsia="zh-CN"/>
        </w:rPr>
        <w:t>反映就业管理事务方面的支出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highlight w:val="none"/>
        </w:rPr>
        <w:t>人力资源和社会保障管理事务</w:t>
      </w:r>
      <w:r>
        <w:rPr>
          <w:rFonts w:hint="eastAsia" w:ascii="仿宋_GB2312" w:eastAsia="仿宋_GB2312"/>
          <w:color w:val="auto"/>
          <w:sz w:val="32"/>
          <w:szCs w:val="32"/>
          <w:highlight w:val="none"/>
        </w:rPr>
        <w:t>（款）社会保险经办机构（项）：指</w:t>
      </w:r>
      <w:r>
        <w:rPr>
          <w:rFonts w:hint="eastAsia" w:ascii="仿宋_GB2312" w:eastAsia="仿宋_GB2312"/>
          <w:color w:val="auto"/>
          <w:sz w:val="32"/>
          <w:lang w:eastAsia="zh-CN"/>
        </w:rPr>
        <w:t>反映社会保险经办机构开展业务工作的支出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yellow"/>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highlight w:val="none"/>
        </w:rPr>
        <w:t>人力资源和社会保障管理事务</w:t>
      </w:r>
      <w:r>
        <w:rPr>
          <w:rFonts w:hint="eastAsia" w:ascii="仿宋_GB2312" w:eastAsia="仿宋_GB2312"/>
          <w:color w:val="auto"/>
          <w:sz w:val="32"/>
          <w:szCs w:val="32"/>
          <w:highlight w:val="none"/>
        </w:rPr>
        <w:t>（款）事业运行（项）：指反映</w:t>
      </w:r>
      <w:r>
        <w:rPr>
          <w:rFonts w:hint="eastAsia" w:ascii="仿宋_GB2312" w:eastAsia="仿宋_GB2312"/>
          <w:color w:val="auto"/>
          <w:sz w:val="32"/>
          <w:szCs w:val="32"/>
          <w:highlight w:val="none"/>
          <w:lang w:val="en-US" w:eastAsia="zh-CN"/>
        </w:rPr>
        <w:t>事业</w:t>
      </w:r>
      <w:r>
        <w:rPr>
          <w:rFonts w:hint="eastAsia" w:ascii="仿宋_GB2312" w:eastAsia="仿宋_GB2312"/>
          <w:color w:val="auto"/>
          <w:sz w:val="32"/>
          <w:szCs w:val="32"/>
          <w:highlight w:val="none"/>
        </w:rPr>
        <w:t>单位的基本支出。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highlight w:val="none"/>
        </w:rPr>
        <w:t>行政事业单位养老支出</w:t>
      </w:r>
      <w:r>
        <w:rPr>
          <w:rFonts w:hint="eastAsia" w:ascii="仿宋_GB2312" w:eastAsia="仿宋_GB2312"/>
          <w:color w:val="auto"/>
          <w:sz w:val="32"/>
          <w:szCs w:val="32"/>
          <w:highlight w:val="none"/>
        </w:rPr>
        <w:t>（款）行政单位离退休（项）：指</w:t>
      </w:r>
      <w:r>
        <w:rPr>
          <w:rFonts w:hint="eastAsia" w:ascii="方正仿宋_GBK" w:hAnsi="仿宋" w:eastAsia="方正仿宋_GBK"/>
          <w:bCs/>
          <w:color w:val="000000"/>
          <w:kern w:val="0"/>
          <w:sz w:val="33"/>
          <w:szCs w:val="33"/>
          <w:highlight w:val="none"/>
        </w:rPr>
        <w:t>反映用于行政单位离退休方面的支出</w:t>
      </w:r>
      <w:r>
        <w:rPr>
          <w:rFonts w:hint="eastAsia" w:ascii="仿宋_GB2312" w:eastAsia="仿宋_GB2312"/>
          <w:color w:val="auto"/>
          <w:sz w:val="32"/>
          <w:szCs w:val="32"/>
          <w:highlight w:val="none"/>
        </w:rPr>
        <w:t>。</w:t>
      </w:r>
    </w:p>
    <w:p>
      <w:pPr>
        <w:ind w:firstLine="640" w:firstLineChars="200"/>
        <w:rPr>
          <w:rFonts w:hint="eastAsia" w:ascii="仿宋_GB2312" w:hAnsi="Times New Roman" w:eastAsia="仿宋_GB2312" w:cs="Times New Roman"/>
          <w:b w:val="0"/>
          <w:bCs w:val="0"/>
          <w:color w:val="auto"/>
          <w:kern w:val="2"/>
          <w:sz w:val="32"/>
          <w:szCs w:val="32"/>
          <w:highlight w:val="none"/>
          <w:lang w:val="en-US" w:eastAsia="zh-CN" w:bidi="ar-SA"/>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highlight w:val="none"/>
        </w:rPr>
        <w:t>行政事业单位养老支出</w:t>
      </w:r>
      <w:r>
        <w:rPr>
          <w:rFonts w:hint="eastAsia" w:ascii="仿宋_GB2312" w:eastAsia="仿宋_GB2312"/>
          <w:color w:val="auto"/>
          <w:sz w:val="32"/>
          <w:szCs w:val="32"/>
          <w:highlight w:val="none"/>
        </w:rPr>
        <w:t>（款）离退休人员管理机构（项）：指</w:t>
      </w:r>
      <w:r>
        <w:rPr>
          <w:rFonts w:hint="eastAsia" w:ascii="仿宋_GB2312" w:hAnsi="Times New Roman" w:eastAsia="仿宋_GB2312" w:cs="Times New Roman"/>
          <w:b w:val="0"/>
          <w:bCs w:val="0"/>
          <w:color w:val="auto"/>
          <w:kern w:val="2"/>
          <w:sz w:val="32"/>
          <w:szCs w:val="32"/>
          <w:highlight w:val="none"/>
          <w:lang w:val="en-US" w:eastAsia="zh-CN" w:bidi="ar-SA"/>
        </w:rPr>
        <w:t>反映各类离退休人员管理机构的支出。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highlight w:val="none"/>
        </w:rPr>
        <w:t>行政事业单位养老支出</w:t>
      </w:r>
      <w:r>
        <w:rPr>
          <w:rFonts w:hint="eastAsia" w:ascii="仿宋_GB2312" w:eastAsia="仿宋_GB2312"/>
          <w:color w:val="auto"/>
          <w:sz w:val="32"/>
          <w:szCs w:val="32"/>
          <w:highlight w:val="none"/>
        </w:rPr>
        <w:t>（款）机关事业单位基本养老保险缴费支出（项）：指</w:t>
      </w:r>
      <w:r>
        <w:rPr>
          <w:rFonts w:hint="eastAsia" w:ascii="仿宋_GB2312" w:eastAsia="仿宋_GB2312"/>
          <w:color w:val="auto"/>
          <w:sz w:val="32"/>
          <w:lang w:eastAsia="zh-CN"/>
        </w:rPr>
        <w:t>反映机关事业单位是养老保险制度由单位缴纳的基本养老保险费支出</w:t>
      </w:r>
      <w:r>
        <w:rPr>
          <w:rFonts w:hint="eastAsia" w:ascii="仿宋_GB2312" w:eastAsia="仿宋_GB2312"/>
          <w:color w:val="auto"/>
          <w:sz w:val="32"/>
          <w:szCs w:val="32"/>
          <w:highlight w:val="none"/>
        </w:rPr>
        <w:t>。</w:t>
      </w:r>
    </w:p>
    <w:p>
      <w:pPr>
        <w:pStyle w:val="7"/>
        <w:ind w:firstLine="640" w:firstLineChars="200"/>
        <w:rPr>
          <w:highlight w:val="none"/>
        </w:rPr>
      </w:pPr>
      <w:r>
        <w:rPr>
          <w:rFonts w:hint="eastAsia" w:ascii="仿宋_GB2312" w:eastAsia="仿宋_GB2312"/>
          <w:color w:val="auto"/>
          <w:sz w:val="32"/>
          <w:szCs w:val="32"/>
          <w:highlight w:val="none"/>
          <w:lang w:val="en-US" w:eastAsia="zh-CN"/>
        </w:rPr>
        <w:t>1</w:t>
      </w:r>
      <w:r>
        <w:rPr>
          <w:rFonts w:hint="eastAsia"/>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highlight w:val="none"/>
        </w:rPr>
        <w:t>就业补助</w:t>
      </w:r>
      <w:r>
        <w:rPr>
          <w:rFonts w:hint="eastAsia" w:ascii="仿宋_GB2312" w:eastAsia="仿宋_GB2312"/>
          <w:color w:val="auto"/>
          <w:sz w:val="32"/>
          <w:szCs w:val="32"/>
          <w:highlight w:val="none"/>
        </w:rPr>
        <w:t>（款）其他就业补助支出（项）：指</w:t>
      </w:r>
      <w:r>
        <w:rPr>
          <w:rFonts w:hint="eastAsia"/>
          <w:color w:val="auto"/>
          <w:sz w:val="32"/>
          <w:szCs w:val="32"/>
          <w:highlight w:val="none"/>
          <w:lang w:val="en-US" w:eastAsia="zh-CN"/>
        </w:rPr>
        <w:t>除上述项目外，用于就业补助方面的支出</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hint="eastAsia"/>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highlight w:val="none"/>
        </w:rPr>
        <w:t>残疾人事业</w:t>
      </w:r>
      <w:r>
        <w:rPr>
          <w:rFonts w:hint="eastAsia" w:ascii="仿宋_GB2312" w:eastAsia="仿宋_GB2312"/>
          <w:color w:val="auto"/>
          <w:sz w:val="32"/>
          <w:szCs w:val="32"/>
          <w:highlight w:val="none"/>
        </w:rPr>
        <w:t>（款）其他残疾人事业支出（项）：指</w:t>
      </w:r>
      <w:r>
        <w:rPr>
          <w:rFonts w:hint="eastAsia" w:ascii="仿宋_GB2312" w:hAnsi="Times New Roman" w:eastAsia="仿宋_GB2312" w:cs="Times New Roman"/>
          <w:color w:val="auto"/>
          <w:kern w:val="0"/>
          <w:sz w:val="32"/>
          <w:szCs w:val="32"/>
          <w:highlight w:val="none"/>
          <w:lang w:val="en-US" w:eastAsia="zh-CN" w:bidi="ar-SA"/>
        </w:rPr>
        <w:t>反映上述项目以外其他用于残疾人事业方面的支出</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17.卫生健康（类）行政事业单位医疗（款）行政单位医疗（项）:指</w:t>
      </w:r>
      <w:r>
        <w:rPr>
          <w:rFonts w:hint="eastAsia" w:ascii="方正仿宋_GBK" w:hAnsi="仿宋" w:eastAsia="方正仿宋_GBK"/>
          <w:bCs/>
          <w:color w:val="000000"/>
          <w:kern w:val="0"/>
          <w:sz w:val="33"/>
          <w:szCs w:val="33"/>
          <w:highlight w:val="none"/>
        </w:rPr>
        <w:t>反映财政部门集中安排的行政单位基本医疗保险缴费经费，未参加医疗保险的行政单位的公费医疗经费，按国家规定享受离休人员、红军老战士待遇人员的医疗经费</w:t>
      </w:r>
      <w:r>
        <w:rPr>
          <w:rFonts w:hint="eastAsia" w:ascii="仿宋_GB2312" w:eastAsia="仿宋_GB2312"/>
          <w:color w:val="auto"/>
          <w:sz w:val="32"/>
          <w:szCs w:val="32"/>
          <w:highlight w:val="none"/>
          <w:lang w:val="en-US" w:eastAsia="zh-CN"/>
        </w:rPr>
        <w:t>。</w:t>
      </w:r>
    </w:p>
    <w:p>
      <w:pPr>
        <w:spacing w:line="600" w:lineRule="exact"/>
        <w:ind w:firstLine="640" w:firstLineChars="200"/>
        <w:rPr>
          <w:rFonts w:hint="eastAsia" w:ascii="仿宋_GB2312" w:eastAsia="方正仿宋_GBK"/>
          <w:color w:val="auto"/>
          <w:sz w:val="32"/>
          <w:szCs w:val="32"/>
          <w:highlight w:val="none"/>
          <w:lang w:val="en-US" w:eastAsia="zh-CN"/>
        </w:rPr>
      </w:pPr>
      <w:r>
        <w:rPr>
          <w:rFonts w:hint="eastAsia" w:ascii="仿宋_GB2312" w:eastAsia="仿宋_GB2312"/>
          <w:color w:val="auto"/>
          <w:sz w:val="32"/>
          <w:szCs w:val="32"/>
          <w:highlight w:val="none"/>
          <w:lang w:val="en-US" w:eastAsia="zh-CN"/>
        </w:rPr>
        <w:t>18.卫生健康（类）行政事业单位医疗（款）事业单位医疗（项）:</w:t>
      </w:r>
      <w:r>
        <w:rPr>
          <w:rFonts w:hint="eastAsia" w:ascii="方正仿宋_GBK" w:hAnsi="仿宋" w:eastAsia="方正仿宋_GBK"/>
          <w:bCs/>
          <w:color w:val="000000"/>
          <w:kern w:val="0"/>
          <w:sz w:val="33"/>
          <w:szCs w:val="33"/>
          <w:highlight w:val="none"/>
        </w:rPr>
        <w:t>指反映财政部门集中安排的事业单位基本医疗保险缴费经费，未参加医疗保险的事业单位的公费医疗经费，按国家规定享受离休人员待遇人员的医疗经费</w:t>
      </w:r>
      <w:r>
        <w:rPr>
          <w:rFonts w:hint="eastAsia" w:ascii="仿宋_GB2312" w:eastAsia="仿宋_GB2312"/>
          <w:sz w:val="32"/>
          <w:szCs w:val="32"/>
          <w:highlight w:val="none"/>
          <w:lang w:eastAsia="zh-CN"/>
        </w:rPr>
        <w:t>。</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19.卫生健康（类）行政事业单位医疗（款）公务员医疗补助（项）:</w:t>
      </w:r>
      <w:r>
        <w:rPr>
          <w:rFonts w:hint="eastAsia" w:ascii="仿宋_GB2312" w:eastAsia="仿宋_GB2312"/>
          <w:sz w:val="32"/>
          <w:szCs w:val="32"/>
          <w:highlight w:val="none"/>
        </w:rPr>
        <w:t>指反映财政部门集中安排的公务员医疗补助经费</w:t>
      </w:r>
      <w:r>
        <w:rPr>
          <w:rFonts w:hint="eastAsia" w:ascii="仿宋_GB2312" w:eastAsia="仿宋_GB2312"/>
          <w:sz w:val="32"/>
          <w:szCs w:val="32"/>
          <w:highlight w:val="none"/>
          <w:lang w:eastAsia="zh-CN"/>
        </w:rPr>
        <w:t>。</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20.农林水支出（类）巩固脱贫衔接乡村振兴（款）其他巩固脱贫衔接乡村振兴支出（项）:指用于巩固脱贫衔接乡村振兴农林用水方面的支出。</w:t>
      </w:r>
    </w:p>
    <w:p>
      <w:pPr>
        <w:spacing w:line="600" w:lineRule="exact"/>
        <w:ind w:firstLine="640" w:firstLineChars="200"/>
        <w:rPr>
          <w:highlight w:val="yellow"/>
        </w:rPr>
      </w:pPr>
      <w:r>
        <w:rPr>
          <w:rFonts w:hint="eastAsia" w:ascii="仿宋_GB2312" w:eastAsia="仿宋_GB2312"/>
          <w:color w:val="auto"/>
          <w:sz w:val="32"/>
          <w:szCs w:val="32"/>
          <w:highlight w:val="none"/>
          <w:lang w:val="en-US" w:eastAsia="zh-CN"/>
        </w:rPr>
        <w:t>21.住房保障支出（类）住房改革支出（款）住房公积金（项）:指</w:t>
      </w:r>
      <w:r>
        <w:rPr>
          <w:rFonts w:hint="eastAsia" w:ascii="仿宋_GB2312" w:eastAsia="仿宋_GB2312"/>
          <w:color w:val="auto"/>
          <w:sz w:val="32"/>
          <w:lang w:eastAsia="zh-CN"/>
        </w:rPr>
        <w:t>反映行政事业单位按人力资源和社会保障部、财政部规定的基本工资和津补贴以及规定比例为职工缴纳的住房公积金</w:t>
      </w:r>
      <w:r>
        <w:rPr>
          <w:rFonts w:hint="eastAsia" w:ascii="仿宋_GB2312" w:eastAsia="仿宋_GB2312"/>
          <w:color w:val="auto"/>
          <w:sz w:val="32"/>
          <w:szCs w:val="32"/>
          <w:highlight w:val="none"/>
          <w:lang w:val="en-US" w:eastAsia="zh-CN"/>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w:t>
      </w:r>
      <w:r>
        <w:rPr>
          <w:rFonts w:hint="eastAsia" w:ascii="仿宋_GB2312" w:eastAsia="仿宋_GB2312"/>
          <w:color w:val="auto"/>
          <w:sz w:val="32"/>
        </w:rPr>
        <w:t>含参照</w:t>
      </w:r>
      <w:r>
        <w:rPr>
          <w:rFonts w:hint="eastAsia" w:ascii="仿宋_GB2312" w:hAnsi="仿宋" w:eastAsia="仿宋_GB2312" w:cs="Times New Roman"/>
          <w:sz w:val="32"/>
          <w:szCs w:val="32"/>
          <w:lang w:val="en-US" w:eastAsia="zh-CN"/>
        </w:rPr>
        <w:t>《中华人民共和国公务员法》</w:t>
      </w:r>
      <w:r>
        <w:rPr>
          <w:rFonts w:hint="eastAsia" w:ascii="仿宋_GB2312" w:eastAsia="仿宋_GB2312"/>
          <w:color w:val="auto"/>
          <w:sz w:val="32"/>
        </w:rPr>
        <w:t>管理的事业单位</w:t>
      </w:r>
      <w:r>
        <w:rPr>
          <w:rFonts w:hint="eastAsia" w:ascii="仿宋_GB2312" w:eastAsia="仿宋_GB2312"/>
          <w:color w:val="auto"/>
          <w:sz w:val="32"/>
          <w:szCs w:val="32"/>
          <w:highlight w:val="none"/>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4"/>
          <w:rFonts w:hint="eastAsia" w:ascii="黑体" w:hAnsi="黑体" w:eastAsia="黑体"/>
          <w:b w:val="0"/>
          <w:color w:val="auto"/>
          <w:highlight w:val="none"/>
          <w:lang w:eastAsia="zh-CN"/>
        </w:rPr>
      </w:pPr>
      <w:bookmarkStart w:id="78" w:name="_Toc15377226"/>
      <w:r>
        <w:rPr>
          <w:rFonts w:ascii="宋体"/>
          <w:b/>
          <w:color w:val="auto"/>
          <w:sz w:val="44"/>
          <w:szCs w:val="44"/>
          <w:highlight w:val="none"/>
        </w:rPr>
        <w:br w:type="page"/>
      </w:r>
      <w:bookmarkStart w:id="79" w:name="_Toc15396614"/>
      <w:bookmarkStart w:id="80" w:name="_Toc8945"/>
      <w:r>
        <w:rPr>
          <w:rFonts w:hint="eastAsia" w:ascii="黑体" w:hAnsi="黑体" w:eastAsia="黑体"/>
          <w:color w:val="auto"/>
          <w:sz w:val="44"/>
          <w:szCs w:val="44"/>
          <w:highlight w:val="none"/>
        </w:rPr>
        <w:t>第</w:t>
      </w:r>
      <w:r>
        <w:rPr>
          <w:rStyle w:val="34"/>
          <w:rFonts w:hint="eastAsia" w:ascii="黑体" w:hAnsi="黑体" w:eastAsia="黑体"/>
          <w:b w:val="0"/>
          <w:color w:val="auto"/>
          <w:highlight w:val="none"/>
        </w:rPr>
        <w:t>四部分 附件</w:t>
      </w:r>
      <w:bookmarkEnd w:id="79"/>
      <w:bookmarkEnd w:id="80"/>
    </w:p>
    <w:p>
      <w:pPr>
        <w:keepNext w:val="0"/>
        <w:keepLines w:val="0"/>
        <w:pageBreakBefore w:val="0"/>
        <w:kinsoku/>
        <w:wordWrap/>
        <w:overflowPunct/>
        <w:topLinePunct w:val="0"/>
        <w:autoSpaceDE/>
        <w:autoSpaceDN/>
        <w:bidi w:val="0"/>
        <w:spacing w:line="572" w:lineRule="exact"/>
        <w:jc w:val="left"/>
        <w:textAlignment w:val="auto"/>
        <w:outlineLvl w:val="1"/>
        <w:rPr>
          <w:rFonts w:ascii="方正小标宋简体" w:hAnsi="方正小标宋简体" w:eastAsia="方正小标宋简体" w:cs="方正小标宋简体"/>
          <w:color w:val="auto"/>
          <w:sz w:val="44"/>
          <w:szCs w:val="44"/>
          <w:highlight w:val="none"/>
        </w:rPr>
      </w:pPr>
      <w:bookmarkStart w:id="81" w:name="_Toc28808"/>
      <w:r>
        <w:rPr>
          <w:rFonts w:hint="eastAsia" w:ascii="黑体" w:hAnsi="黑体" w:eastAsia="黑体" w:cs="黑体"/>
          <w:color w:val="auto"/>
          <w:sz w:val="32"/>
          <w:szCs w:val="32"/>
          <w:highlight w:val="none"/>
        </w:rPr>
        <w:t>附件</w:t>
      </w:r>
      <w:bookmarkEnd w:id="81"/>
    </w:p>
    <w:p>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方正小标宋_GBK" w:hAnsi="方正小标宋_GBK" w:eastAsia="方正小标宋_GBK" w:cs="方正小标宋_GBK"/>
          <w:sz w:val="32"/>
          <w:szCs w:val="32"/>
          <w:shd w:val="clear" w:color="auto" w:fill="FFFFFF"/>
          <w:lang w:eastAsia="zh-CN"/>
        </w:rPr>
        <w:t>广安区</w:t>
      </w:r>
      <w:r>
        <w:rPr>
          <w:rFonts w:hint="eastAsia" w:ascii="方正小标宋_GBK" w:hAnsi="方正小标宋_GBK" w:eastAsia="方正小标宋_GBK" w:cs="方正小标宋_GBK"/>
          <w:sz w:val="32"/>
          <w:szCs w:val="32"/>
          <w:shd w:val="clear" w:color="auto" w:fill="FFFFFF"/>
        </w:rPr>
        <w:t>202</w:t>
      </w:r>
      <w:r>
        <w:rPr>
          <w:rFonts w:hint="eastAsia" w:ascii="方正小标宋_GBK" w:hAnsi="方正小标宋_GBK" w:eastAsia="方正小标宋_GBK" w:cs="方正小标宋_GBK"/>
          <w:sz w:val="32"/>
          <w:szCs w:val="32"/>
          <w:shd w:val="clear" w:color="auto" w:fill="FFFFFF"/>
          <w:lang w:val="en-US" w:eastAsia="zh-CN"/>
        </w:rPr>
        <w:t>3</w:t>
      </w:r>
      <w:r>
        <w:rPr>
          <w:rFonts w:hint="eastAsia" w:ascii="方正小标宋_GBK" w:hAnsi="方正小标宋_GBK" w:eastAsia="方正小标宋_GBK" w:cs="方正小标宋_GBK"/>
          <w:sz w:val="32"/>
          <w:szCs w:val="32"/>
          <w:shd w:val="clear" w:color="auto" w:fill="FFFFFF"/>
        </w:rPr>
        <w:t>年部门整体支出绩效</w:t>
      </w:r>
      <w:r>
        <w:rPr>
          <w:rFonts w:hint="eastAsia" w:ascii="方正小标宋_GBK" w:hAnsi="方正小标宋_GBK" w:eastAsia="方正小标宋_GBK" w:cs="方正小标宋_GBK"/>
          <w:sz w:val="32"/>
          <w:szCs w:val="32"/>
          <w:shd w:val="clear" w:color="auto" w:fill="FFFFFF"/>
          <w:lang w:val="en-US" w:eastAsia="zh-CN"/>
        </w:rPr>
        <w:t>自评</w:t>
      </w:r>
      <w:r>
        <w:rPr>
          <w:rFonts w:hint="eastAsia" w:ascii="方正小标宋_GBK" w:hAnsi="方正小标宋_GBK" w:eastAsia="方正小标宋_GBK" w:cs="方正小标宋_GBK"/>
          <w:sz w:val="32"/>
          <w:szCs w:val="32"/>
          <w:shd w:val="clear" w:color="auto" w:fill="FFFFFF"/>
        </w:rPr>
        <w:t>报告</w:t>
      </w:r>
    </w:p>
    <w:p>
      <w:pPr>
        <w:widowControl/>
        <w:spacing w:line="580" w:lineRule="exact"/>
        <w:ind w:firstLine="660" w:firstLineChars="200"/>
        <w:contextualSpacing/>
        <w:jc w:val="center"/>
        <w:rPr>
          <w:rFonts w:hint="eastAsia" w:ascii="仿宋_GB2312" w:hAnsi="仿宋_GB2312" w:eastAsia="仿宋_GB2312" w:cs="仿宋_GB2312"/>
          <w:color w:val="auto"/>
          <w:sz w:val="32"/>
          <w:szCs w:val="32"/>
          <w:highlight w:val="none"/>
          <w:shd w:val="clear" w:color="auto" w:fill="FFFFFF"/>
        </w:rPr>
      </w:pPr>
      <w:r>
        <w:rPr>
          <w:rFonts w:hint="eastAsia" w:ascii="方正楷体_GBK" w:hAnsi="方正楷体_GBK" w:eastAsia="方正楷体_GBK" w:cs="方正楷体_GBK"/>
          <w:sz w:val="33"/>
          <w:szCs w:val="33"/>
          <w:shd w:val="clear" w:color="auto" w:fill="FFFFFF"/>
        </w:rPr>
        <w:t>（</w:t>
      </w:r>
      <w:r>
        <w:rPr>
          <w:rFonts w:hint="eastAsia" w:ascii="方正楷体_GBK" w:hAnsi="方正楷体_GBK" w:eastAsia="方正楷体_GBK" w:cs="方正楷体_GBK"/>
          <w:sz w:val="33"/>
          <w:szCs w:val="33"/>
          <w:shd w:val="clear" w:color="auto" w:fill="FFFFFF"/>
          <w:lang w:val="en-US" w:eastAsia="zh-CN"/>
        </w:rPr>
        <w:t>广安区就业服务管理局</w:t>
      </w:r>
      <w:r>
        <w:rPr>
          <w:rFonts w:hint="eastAsia" w:ascii="方正楷体_GBK" w:hAnsi="方正楷体_GBK" w:eastAsia="方正楷体_GBK" w:cs="方正楷体_GBK"/>
          <w:sz w:val="33"/>
          <w:szCs w:val="33"/>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82" w:name="_Toc31232"/>
      <w:r>
        <w:rPr>
          <w:rFonts w:hint="eastAsia" w:ascii="黑体" w:hAnsi="宋体" w:eastAsia="黑体" w:cs="宋体"/>
          <w:color w:val="auto"/>
          <w:kern w:val="0"/>
          <w:sz w:val="32"/>
          <w:szCs w:val="32"/>
          <w:highlight w:val="none"/>
          <w:shd w:val="clear" w:color="auto" w:fill="FFFFFF"/>
          <w:lang w:val="zh-CN"/>
        </w:rPr>
        <w:t>部门（单位）基本情况</w:t>
      </w:r>
      <w:bookmarkEnd w:id="82"/>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shd w:val="clear" w:fill="FFFFFF"/>
          <w:lang w:val="zh-CN" w:eastAsia="zh-CN" w:bidi="ar-SA"/>
        </w:rPr>
        <w:t>（一）</w:t>
      </w: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lang w:val="zh-CN"/>
        </w:rPr>
      </w:pPr>
      <w:r>
        <w:rPr>
          <w:rFonts w:hint="eastAsia" w:ascii="Times New Roman" w:hAnsi="Times New Roman" w:eastAsia="方正仿宋_GBK" w:cs="Times New Roman"/>
          <w:kern w:val="2"/>
          <w:sz w:val="33"/>
          <w:szCs w:val="33"/>
          <w:lang w:val="en-US" w:eastAsia="zh-CN" w:bidi="ar-SA"/>
        </w:rPr>
        <w:t>根据职责，设4个内设机构，即：办公室、就业指导股、职业培训股、失业保险股，负责日常事务及各项业务管理。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shd w:val="clear" w:fill="FFFFFF"/>
          <w:lang w:val="zh-CN" w:eastAsia="zh-CN" w:bidi="ar-SA"/>
        </w:rPr>
        <w:t>（二）</w:t>
      </w: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Times New Roman" w:hAnsi="Times New Roman" w:eastAsia="方正仿宋_GBK" w:cs="Times New Roman"/>
          <w:kern w:val="2"/>
          <w:sz w:val="33"/>
          <w:szCs w:val="33"/>
          <w:lang w:val="en-US" w:eastAsia="zh-CN" w:bidi="ar-SA"/>
        </w:rPr>
      </w:pPr>
      <w:r>
        <w:rPr>
          <w:rFonts w:hint="eastAsia" w:eastAsia="方正仿宋_GBK" w:cs="Times New Roman"/>
          <w:kern w:val="2"/>
          <w:sz w:val="33"/>
          <w:szCs w:val="33"/>
          <w:lang w:val="en-US" w:eastAsia="zh-CN" w:bidi="ar-SA"/>
        </w:rPr>
        <w:t>机构职能：</w:t>
      </w:r>
      <w:r>
        <w:rPr>
          <w:rFonts w:hint="eastAsia" w:ascii="Times New Roman" w:hAnsi="Times New Roman" w:eastAsia="方正仿宋_GBK" w:cs="Times New Roman"/>
          <w:kern w:val="2"/>
          <w:sz w:val="33"/>
          <w:szCs w:val="33"/>
          <w:lang w:val="en-US" w:eastAsia="zh-CN" w:bidi="ar-SA"/>
        </w:rPr>
        <w:t>1.贯彻执行国家劳动就业的方针政策和失业保险法律、法规，负责全区就业服务管理工作。</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2.做好劳动就业和失业保险执法、管理和服务工作；帮助、指导劳动者就业；开展劳动力资源调查，收集、发布就业信息。</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3.组织开展职业技能培训；负责失业保险基金管理和发放；维护我区就业局势基本稳定，促进经济社会发展。</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4.承办区政府和上级主管部门交办的其他工作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left"/>
        <w:textAlignment w:val="auto"/>
        <w:rPr>
          <w:rFonts w:hint="default"/>
          <w:lang w:val="en-US"/>
        </w:rPr>
      </w:pPr>
      <w:r>
        <w:rPr>
          <w:rFonts w:hint="eastAsia" w:eastAsia="方正仿宋_GBK" w:cs="Times New Roman"/>
          <w:kern w:val="2"/>
          <w:sz w:val="33"/>
          <w:szCs w:val="33"/>
          <w:lang w:val="en-US" w:eastAsia="zh-CN" w:bidi="ar-SA"/>
        </w:rPr>
        <w:t>人员概况：</w:t>
      </w:r>
      <w:r>
        <w:rPr>
          <w:rFonts w:hint="eastAsia" w:ascii="Times New Roman" w:hAnsi="Times New Roman" w:eastAsia="方正仿宋_GBK" w:cs="Times New Roman"/>
          <w:kern w:val="2"/>
          <w:sz w:val="33"/>
          <w:szCs w:val="33"/>
          <w:lang w:val="en-US" w:eastAsia="zh-CN" w:bidi="ar-SA"/>
        </w:rPr>
        <w:t>核定编制10名，其中参公编制9名，工勤编制1名。</w:t>
      </w:r>
      <w:r>
        <w:rPr>
          <w:rFonts w:hint="eastAsia" w:eastAsia="方正仿宋_GBK" w:cs="Times New Roman"/>
          <w:kern w:val="2"/>
          <w:sz w:val="33"/>
          <w:szCs w:val="33"/>
          <w:lang w:val="en-US" w:eastAsia="zh-CN" w:bidi="ar-SA"/>
        </w:rPr>
        <w:t>2022年</w:t>
      </w:r>
      <w:r>
        <w:rPr>
          <w:rFonts w:hint="eastAsia" w:ascii="Times New Roman" w:hAnsi="Times New Roman" w:eastAsia="方正仿宋_GBK" w:cs="Times New Roman"/>
          <w:kern w:val="2"/>
          <w:sz w:val="33"/>
          <w:szCs w:val="33"/>
          <w:lang w:val="en-US" w:eastAsia="zh-CN" w:bidi="ar-SA"/>
        </w:rPr>
        <w:t>实有在职人员10人，退休人员9人。</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pStyle w:val="2"/>
        <w:numPr>
          <w:ilvl w:val="0"/>
          <w:numId w:val="0"/>
        </w:numPr>
        <w:spacing w:line="240" w:lineRule="auto"/>
        <w:ind w:firstLine="660" w:firstLineChars="20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1.大力开展招聘活动，促进高效就业。积极搭建劳动力供需平台，大力开展“就业援助月”暨“春风行动”招聘活动、民营企业招聘月·吾悦广场专场招聘会及“百日千万”网络招聘活动，采取线上线下多种形式宣传推送用工信息，将政策、岗位送入每家每户。依托招聘平台，通过就业岗位与脱贫劳动力相互海选、定选、精选、补选模式，努力实现人岗对接，帮助其实现就地就近就业。</w:t>
      </w:r>
    </w:p>
    <w:p>
      <w:pPr>
        <w:numPr>
          <w:ilvl w:val="0"/>
          <w:numId w:val="0"/>
        </w:numPr>
        <w:spacing w:line="240" w:lineRule="auto"/>
        <w:ind w:firstLine="660" w:firstLineChars="200"/>
        <w:rPr>
          <w:rFonts w:hint="eastAsia" w:eastAsia="方正仿宋_GBK"/>
          <w:color w:val="auto"/>
          <w:sz w:val="33"/>
          <w:szCs w:val="33"/>
          <w:lang w:eastAsia="zh-CN"/>
        </w:rPr>
      </w:pPr>
      <w:r>
        <w:rPr>
          <w:rFonts w:hint="eastAsia" w:ascii="Times New Roman" w:hAnsi="Times New Roman" w:eastAsia="方正仿宋_GBK" w:cs="Times New Roman"/>
          <w:kern w:val="2"/>
          <w:sz w:val="33"/>
          <w:szCs w:val="33"/>
          <w:lang w:val="en-US" w:eastAsia="zh-CN" w:bidi="ar-SA"/>
        </w:rPr>
        <w:t>2.积极摸排培训需求，提升培训质量。</w:t>
      </w:r>
      <w:r>
        <w:rPr>
          <w:rFonts w:hint="eastAsia" w:ascii="Times New Roman" w:hAnsi="Times New Roman" w:eastAsia="方正仿宋_GBK"/>
          <w:color w:val="auto"/>
          <w:sz w:val="33"/>
          <w:szCs w:val="33"/>
        </w:rPr>
        <w:t>我局对全区范围内有培训意愿的人员进行了需求调研，通过各乡镇（街道）指导填写职业培训需求调查问卷，根据摸排结果有针对性地设置培训内容。</w:t>
      </w:r>
      <w:r>
        <w:rPr>
          <w:rFonts w:hint="eastAsia" w:eastAsia="方正仿宋_GBK"/>
          <w:color w:val="auto"/>
          <w:sz w:val="33"/>
          <w:szCs w:val="33"/>
          <w:lang w:val="en-US" w:eastAsia="zh-CN"/>
        </w:rPr>
        <w:t>同时</w:t>
      </w:r>
      <w:r>
        <w:rPr>
          <w:rFonts w:hint="eastAsia" w:ascii="Times New Roman" w:hAnsi="Times New Roman" w:eastAsia="方正仿宋_GBK"/>
          <w:color w:val="auto"/>
          <w:sz w:val="33"/>
          <w:szCs w:val="33"/>
        </w:rPr>
        <w:t>通过公开招标的形式确定承训机构</w:t>
      </w:r>
      <w:r>
        <w:rPr>
          <w:rFonts w:hint="eastAsia" w:eastAsia="方正仿宋_GBK"/>
          <w:color w:val="auto"/>
          <w:sz w:val="33"/>
          <w:szCs w:val="33"/>
          <w:lang w:eastAsia="zh-CN"/>
        </w:rPr>
        <w:t>，</w:t>
      </w:r>
      <w:r>
        <w:rPr>
          <w:rFonts w:hint="eastAsia" w:ascii="Times New Roman" w:hAnsi="Times New Roman" w:eastAsia="方正仿宋_GBK"/>
          <w:color w:val="auto"/>
          <w:sz w:val="33"/>
          <w:szCs w:val="33"/>
        </w:rPr>
        <w:t>开展创业培训工作</w:t>
      </w:r>
      <w:r>
        <w:rPr>
          <w:rFonts w:hint="eastAsia" w:eastAsia="方正仿宋_GBK"/>
          <w:color w:val="auto"/>
          <w:sz w:val="33"/>
          <w:szCs w:val="33"/>
          <w:lang w:eastAsia="zh-CN"/>
        </w:rPr>
        <w:t>，</w:t>
      </w:r>
      <w:r>
        <w:rPr>
          <w:rFonts w:hint="eastAsia" w:eastAsia="方正仿宋_GBK"/>
          <w:color w:val="auto"/>
          <w:sz w:val="33"/>
          <w:szCs w:val="33"/>
          <w:lang w:val="en-US" w:eastAsia="zh-CN"/>
        </w:rPr>
        <w:t>以此</w:t>
      </w:r>
      <w:r>
        <w:rPr>
          <w:rFonts w:hint="eastAsia" w:ascii="Times New Roman" w:hAnsi="Times New Roman" w:eastAsia="方正仿宋_GBK"/>
          <w:color w:val="auto"/>
          <w:sz w:val="33"/>
          <w:szCs w:val="33"/>
        </w:rPr>
        <w:t>提高就业创业技能水平,推动大众创业、万众创新，促进就业倍增效应提供有力支撑</w:t>
      </w:r>
      <w:r>
        <w:rPr>
          <w:rFonts w:hint="eastAsia" w:eastAsia="方正仿宋_GBK"/>
          <w:color w:val="auto"/>
          <w:sz w:val="33"/>
          <w:szCs w:val="33"/>
          <w:lang w:eastAsia="zh-CN"/>
        </w:rPr>
        <w:t>。</w:t>
      </w:r>
    </w:p>
    <w:p>
      <w:pPr>
        <w:pStyle w:val="2"/>
        <w:spacing w:line="240" w:lineRule="auto"/>
        <w:ind w:firstLine="660" w:firstLineChars="200"/>
        <w:rPr>
          <w:rFonts w:hint="eastAsia" w:ascii="Times New Roman" w:hAnsi="Times New Roman" w:eastAsia="方正仿宋_GBK" w:cs="宋体"/>
          <w:color w:val="auto"/>
          <w:kern w:val="2"/>
          <w:sz w:val="33"/>
          <w:szCs w:val="33"/>
          <w:lang w:val="en-US" w:eastAsia="zh-CN"/>
        </w:rPr>
      </w:pPr>
      <w:r>
        <w:rPr>
          <w:rFonts w:hint="eastAsia" w:ascii="Times New Roman" w:hAnsi="Times New Roman" w:eastAsia="方正仿宋_GBK" w:cs="Times New Roman"/>
          <w:kern w:val="2"/>
          <w:sz w:val="33"/>
          <w:szCs w:val="33"/>
          <w:lang w:val="en-US" w:eastAsia="zh-CN" w:bidi="ar-SA"/>
        </w:rPr>
        <w:t>3.深入社区调研帮扶，精准对接促就业。</w:t>
      </w:r>
      <w:r>
        <w:rPr>
          <w:rFonts w:hint="eastAsia" w:ascii="Times New Roman" w:hAnsi="Times New Roman" w:eastAsia="方正仿宋_GBK" w:cs="宋体"/>
          <w:color w:val="auto"/>
          <w:kern w:val="2"/>
          <w:sz w:val="33"/>
          <w:szCs w:val="33"/>
          <w:lang w:val="en-US" w:eastAsia="zh-CN"/>
        </w:rPr>
        <w:t>为有力开展稳就业保就业工作，我局依托街道（乡镇）力量，依靠人社系统干部，采取一对一包联社区方式，同街道（乡镇）工作人员一起对全区调查失业率工作重点社区（村）开展入户调研，进行就业信息摸排，针对性进行岗位推介，精准帮扶就业。</w:t>
      </w:r>
    </w:p>
    <w:p>
      <w:pPr>
        <w:ind w:firstLine="660" w:firstLineChars="200"/>
        <w:rPr>
          <w:rFonts w:hint="eastAsia" w:ascii="Times New Roman" w:hAnsi="Times New Roman" w:eastAsia="方正仿宋_GBK"/>
          <w:color w:val="auto"/>
          <w:sz w:val="33"/>
          <w:szCs w:val="33"/>
        </w:rPr>
      </w:pPr>
      <w:r>
        <w:rPr>
          <w:rFonts w:hint="eastAsia" w:ascii="Times New Roman" w:hAnsi="Times New Roman" w:eastAsia="方正仿宋_GBK" w:cs="Times New Roman"/>
          <w:kern w:val="2"/>
          <w:sz w:val="33"/>
          <w:szCs w:val="33"/>
          <w:lang w:val="en-US" w:eastAsia="zh-CN" w:bidi="ar-SA"/>
        </w:rPr>
        <w:t>4.充分利用失保政策，稳企稳岗稳就业。</w:t>
      </w:r>
      <w:r>
        <w:rPr>
          <w:rFonts w:hint="eastAsia" w:ascii="Times New Roman" w:hAnsi="Times New Roman" w:eastAsia="方正仿宋_GBK"/>
          <w:color w:val="auto"/>
          <w:sz w:val="33"/>
          <w:szCs w:val="33"/>
        </w:rPr>
        <w:t>强化政策宣传力度，扩大政策知晓率和覆盖面，扎实推进稳岗返还和技能提升补贴工作，确保申请受理、补贴审核、资金发放等各个环节合规有序开展。</w:t>
      </w:r>
    </w:p>
    <w:p>
      <w:pPr>
        <w:pStyle w:val="2"/>
        <w:ind w:firstLine="660" w:firstLineChars="20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5.加强东西部协作，实现转移就业。继续加强与浙江、广东、福建、云南、贵州等省份协作，持续开展东西部劳务协作，坚持抓好“用工信息网上调度、用工信息实时发布、领导定点包企服务”等制度，努力实现岗位信息资源共享，帮助未能就近就业的农村劳动力有序转移就业。</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p>
    <w:p>
      <w:pPr>
        <w:pStyle w:val="6"/>
        <w:rPr>
          <w:rFonts w:hint="default"/>
          <w:lang w:val="en-US"/>
        </w:rPr>
      </w:pPr>
      <w:r>
        <w:rPr>
          <w:rFonts w:hint="eastAsia" w:eastAsia="方正仿宋_GBK" w:cs="Times New Roman"/>
          <w:kern w:val="2"/>
          <w:sz w:val="33"/>
          <w:szCs w:val="33"/>
          <w:lang w:val="en-US" w:eastAsia="zh-CN" w:bidi="ar-SA"/>
        </w:rPr>
        <w:t>做好</w:t>
      </w:r>
      <w:r>
        <w:rPr>
          <w:rFonts w:hint="eastAsia" w:ascii="Times New Roman" w:hAnsi="Times New Roman" w:eastAsia="方正仿宋_GBK" w:cs="Times New Roman"/>
          <w:kern w:val="2"/>
          <w:sz w:val="33"/>
          <w:szCs w:val="33"/>
          <w:lang w:val="en-US" w:eastAsia="zh-CN" w:bidi="ar-SA"/>
        </w:rPr>
        <w:t>全区就业服务管理工作</w:t>
      </w:r>
      <w:r>
        <w:rPr>
          <w:rFonts w:hint="eastAsia"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帮助、指导劳动者就业</w:t>
      </w:r>
      <w:r>
        <w:rPr>
          <w:rFonts w:hint="eastAsia"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组织开展职业技能培训</w:t>
      </w:r>
      <w:r>
        <w:rPr>
          <w:rFonts w:hint="eastAsia" w:eastAsia="方正仿宋_GBK" w:cs="Times New Roman"/>
          <w:kern w:val="2"/>
          <w:sz w:val="33"/>
          <w:szCs w:val="33"/>
          <w:lang w:val="en-US" w:eastAsia="zh-CN" w:bidi="ar-SA"/>
        </w:rPr>
        <w:t>，做好</w:t>
      </w:r>
      <w:r>
        <w:rPr>
          <w:rFonts w:hint="eastAsia" w:ascii="Times New Roman" w:hAnsi="Times New Roman" w:eastAsia="方正仿宋_GBK" w:cs="Times New Roman"/>
          <w:kern w:val="2"/>
          <w:sz w:val="33"/>
          <w:szCs w:val="33"/>
          <w:lang w:val="en-US" w:eastAsia="zh-CN" w:bidi="ar-SA"/>
        </w:rPr>
        <w:t>失业保险基金管理和发放</w:t>
      </w:r>
      <w:r>
        <w:rPr>
          <w:rFonts w:hint="eastAsia" w:eastAsia="方正仿宋_GBK" w:cs="Times New Roman"/>
          <w:kern w:val="2"/>
          <w:sz w:val="33"/>
          <w:szCs w:val="33"/>
          <w:lang w:val="en-US" w:eastAsia="zh-CN" w:bidi="ar-SA"/>
        </w:rPr>
        <w:t>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3" w:name="_Toc3725"/>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83"/>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pStyle w:val="6"/>
        <w:rPr>
          <w:rFonts w:hint="eastAsia"/>
          <w:lang w:val="en-US" w:eastAsia="zh-CN"/>
        </w:rPr>
      </w:pP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年本年收入合计15</w:t>
      </w:r>
      <w:r>
        <w:rPr>
          <w:rFonts w:hint="eastAsia" w:eastAsia="仿宋_GB2312" w:cs="Times New Roman"/>
          <w:sz w:val="32"/>
          <w:szCs w:val="32"/>
          <w:lang w:val="en-US" w:eastAsia="zh-CN"/>
        </w:rPr>
        <w:t>20.73</w:t>
      </w:r>
      <w:r>
        <w:rPr>
          <w:rFonts w:hint="eastAsia" w:ascii="Times New Roman" w:hAnsi="Times New Roman" w:eastAsia="仿宋_GB2312" w:cs="Times New Roman"/>
          <w:sz w:val="32"/>
          <w:szCs w:val="32"/>
          <w:lang w:val="en-US" w:eastAsia="zh-CN"/>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shd w:val="clear" w:fill="FFFFFF"/>
          <w:lang w:val="en-US" w:eastAsia="zh-CN" w:bidi="ar-SA"/>
        </w:rPr>
        <w:t>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部门总体支出情况</w:t>
      </w:r>
    </w:p>
    <w:p>
      <w:pPr>
        <w:pStyle w:val="6"/>
        <w:numPr>
          <w:ilvl w:val="0"/>
          <w:numId w:val="0"/>
        </w:numPr>
        <w:ind w:left="640" w:leftChars="0"/>
        <w:rPr>
          <w:rFonts w:hint="eastAsia"/>
          <w:lang w:val="en-US" w:eastAsia="zh-CN"/>
        </w:rPr>
      </w:pP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年本年支出合计15</w:t>
      </w:r>
      <w:r>
        <w:rPr>
          <w:rFonts w:hint="eastAsia" w:eastAsia="仿宋_GB2312" w:cs="Times New Roman"/>
          <w:sz w:val="32"/>
          <w:szCs w:val="32"/>
          <w:lang w:val="en-US" w:eastAsia="zh-CN"/>
        </w:rPr>
        <w:t>20.73</w:t>
      </w:r>
      <w:r>
        <w:rPr>
          <w:rFonts w:hint="eastAsia" w:ascii="Times New Roman" w:hAnsi="Times New Roman" w:eastAsia="仿宋_GB2312" w:cs="Times New Roman"/>
          <w:sz w:val="32"/>
          <w:szCs w:val="32"/>
          <w:lang w:val="en-US" w:eastAsia="zh-CN"/>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shd w:val="clear" w:fill="FFFFFF"/>
          <w:lang w:val="en-US" w:eastAsia="zh-CN" w:bidi="ar-SA"/>
        </w:rPr>
        <w:t>3.</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部门总体结转结余情况</w:t>
      </w:r>
    </w:p>
    <w:p>
      <w:pPr>
        <w:pStyle w:val="6"/>
        <w:numPr>
          <w:ilvl w:val="0"/>
          <w:numId w:val="0"/>
        </w:numPr>
        <w:ind w:left="640" w:leftChars="0"/>
        <w:rPr>
          <w:rFonts w:hint="default"/>
          <w:highlight w:val="yellow"/>
          <w:lang w:val="en-US" w:eastAsia="zh-CN"/>
        </w:rPr>
      </w:pPr>
      <w:r>
        <w:rPr>
          <w:rFonts w:hint="eastAsia" w:eastAsia="方正仿宋_GBK" w:cs="Times New Roman"/>
          <w:color w:val="auto"/>
          <w:kern w:val="0"/>
          <w:sz w:val="33"/>
          <w:szCs w:val="33"/>
          <w:highlight w:val="none"/>
          <w:shd w:val="clear" w:color="auto" w:fill="FFFFFF"/>
          <w:lang w:val="en-US" w:eastAsia="zh-CN"/>
        </w:rPr>
        <w:t>2022</w:t>
      </w:r>
      <w:r>
        <w:rPr>
          <w:rFonts w:hint="default" w:ascii="Times New Roman" w:hAnsi="Times New Roman" w:eastAsia="方正仿宋_GBK" w:cs="Times New Roman"/>
          <w:color w:val="auto"/>
          <w:kern w:val="0"/>
          <w:sz w:val="33"/>
          <w:szCs w:val="33"/>
          <w:highlight w:val="none"/>
          <w:shd w:val="clear" w:color="auto" w:fill="FFFFFF"/>
          <w:lang w:val="en-US" w:eastAsia="zh-CN"/>
        </w:rPr>
        <w:t>年</w:t>
      </w:r>
      <w:r>
        <w:rPr>
          <w:rFonts w:hint="eastAsia" w:ascii="方正仿宋_GBK" w:hAnsi="宋体" w:eastAsia="方正仿宋_GBK" w:cs="宋体"/>
          <w:color w:val="auto"/>
          <w:kern w:val="0"/>
          <w:sz w:val="33"/>
          <w:szCs w:val="33"/>
          <w:highlight w:val="none"/>
          <w:shd w:val="clear" w:color="auto" w:fill="FFFFFF"/>
          <w:lang w:val="zh-CN"/>
        </w:rPr>
        <w:t>部门</w:t>
      </w:r>
      <w:r>
        <w:rPr>
          <w:rFonts w:hint="eastAsia" w:ascii="方正仿宋_GBK" w:hAnsi="宋体" w:eastAsia="方正仿宋_GBK" w:cs="宋体"/>
          <w:color w:val="auto"/>
          <w:kern w:val="0"/>
          <w:sz w:val="33"/>
          <w:szCs w:val="33"/>
          <w:highlight w:val="none"/>
          <w:shd w:val="clear" w:color="auto" w:fill="FFFFFF"/>
          <w:lang w:val="zh-CN" w:eastAsia="zh-CN"/>
        </w:rPr>
        <w:t>总体结转结余</w:t>
      </w:r>
      <w:r>
        <w:rPr>
          <w:rFonts w:hint="eastAsia" w:ascii="Times New Roman" w:hAnsi="Times New Roman" w:eastAsia="仿宋_GB2312" w:cs="Times New Roman"/>
          <w:sz w:val="32"/>
          <w:szCs w:val="32"/>
          <w:lang w:val="en-US" w:eastAsia="zh-CN"/>
        </w:rPr>
        <w:t>29.9</w:t>
      </w:r>
      <w:r>
        <w:rPr>
          <w:rFonts w:hint="eastAsia" w:ascii="方正仿宋_GBK" w:hAnsi="宋体" w:eastAsia="方正仿宋_GBK" w:cs="宋体"/>
          <w:color w:val="auto"/>
          <w:kern w:val="0"/>
          <w:sz w:val="33"/>
          <w:szCs w:val="33"/>
          <w:highlight w:val="none"/>
          <w:shd w:val="clear" w:color="auto" w:fill="FFFFFF"/>
          <w:lang w:val="en-US" w:eastAsia="zh-CN"/>
        </w:rPr>
        <w:t>万元</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年本年收入合计15</w:t>
      </w:r>
      <w:r>
        <w:rPr>
          <w:rFonts w:hint="eastAsia" w:eastAsia="仿宋_GB2312" w:cs="Times New Roman"/>
          <w:sz w:val="32"/>
          <w:szCs w:val="32"/>
          <w:lang w:val="en-US" w:eastAsia="zh-CN"/>
        </w:rPr>
        <w:t>20.73</w:t>
      </w:r>
      <w:r>
        <w:rPr>
          <w:rFonts w:hint="eastAsia" w:ascii="Times New Roman" w:hAnsi="Times New Roman" w:eastAsia="仿宋_GB2312" w:cs="Times New Roman"/>
          <w:sz w:val="32"/>
          <w:szCs w:val="32"/>
          <w:lang w:val="en-US" w:eastAsia="zh-CN"/>
        </w:rPr>
        <w:t>万元，其中：一般公共预算财政拨款收入15</w:t>
      </w:r>
      <w:r>
        <w:rPr>
          <w:rFonts w:hint="eastAsia" w:eastAsia="仿宋_GB2312" w:cs="Times New Roman"/>
          <w:sz w:val="32"/>
          <w:szCs w:val="32"/>
          <w:lang w:val="en-US" w:eastAsia="zh-CN"/>
        </w:rPr>
        <w:t>20.73</w:t>
      </w:r>
      <w:r>
        <w:rPr>
          <w:rFonts w:hint="eastAsia" w:ascii="Times New Roman" w:hAnsi="Times New Roman" w:eastAsia="仿宋_GB2312" w:cs="Times New Roman"/>
          <w:sz w:val="32"/>
          <w:szCs w:val="32"/>
          <w:lang w:val="en-US" w:eastAsia="zh-CN"/>
        </w:rPr>
        <w:t>万元，占100%</w:t>
      </w:r>
      <w:r>
        <w:rPr>
          <w:rFonts w:hint="eastAsia" w:eastAsia="仿宋_GB2312" w:cs="Times New Roman"/>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shd w:val="clear" w:fill="FFFFFF"/>
          <w:lang w:val="en-US" w:eastAsia="zh-CN" w:bidi="ar-SA"/>
        </w:rPr>
        <w:t>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年本年支出合计15</w:t>
      </w:r>
      <w:r>
        <w:rPr>
          <w:rFonts w:hint="eastAsia" w:eastAsia="仿宋_GB2312" w:cs="Times New Roman"/>
          <w:sz w:val="32"/>
          <w:szCs w:val="32"/>
          <w:lang w:val="en-US" w:eastAsia="zh-CN"/>
        </w:rPr>
        <w:t>20.73</w:t>
      </w:r>
      <w:r>
        <w:rPr>
          <w:rFonts w:hint="eastAsia" w:ascii="Times New Roman" w:hAnsi="Times New Roman" w:eastAsia="仿宋_GB2312" w:cs="Times New Roman"/>
          <w:sz w:val="32"/>
          <w:szCs w:val="32"/>
          <w:lang w:val="en-US" w:eastAsia="zh-CN"/>
        </w:rPr>
        <w:t>万元，其中：基本支出21</w:t>
      </w:r>
      <w:r>
        <w:rPr>
          <w:rFonts w:hint="eastAsia" w:eastAsia="仿宋_GB2312" w:cs="Times New Roman"/>
          <w:sz w:val="32"/>
          <w:szCs w:val="32"/>
          <w:lang w:val="en-US" w:eastAsia="zh-CN"/>
        </w:rPr>
        <w:t>3.8</w:t>
      </w:r>
      <w:r>
        <w:rPr>
          <w:rFonts w:hint="eastAsia" w:ascii="Times New Roman" w:hAnsi="Times New Roman" w:eastAsia="仿宋_GB2312" w:cs="Times New Roman"/>
          <w:sz w:val="32"/>
          <w:szCs w:val="32"/>
          <w:lang w:val="en-US" w:eastAsia="zh-CN"/>
        </w:rPr>
        <w:t>万元，占</w:t>
      </w:r>
      <w:r>
        <w:rPr>
          <w:rFonts w:hint="eastAsia" w:eastAsia="仿宋_GB2312" w:cs="Times New Roman"/>
          <w:sz w:val="32"/>
          <w:szCs w:val="32"/>
          <w:lang w:val="en-US" w:eastAsia="zh-CN"/>
        </w:rPr>
        <w:t>14.06</w:t>
      </w:r>
      <w:r>
        <w:rPr>
          <w:rFonts w:hint="eastAsia" w:ascii="Times New Roman" w:hAnsi="Times New Roman" w:eastAsia="仿宋_GB2312" w:cs="Times New Roman"/>
          <w:sz w:val="32"/>
          <w:szCs w:val="32"/>
          <w:lang w:val="en-US" w:eastAsia="zh-CN"/>
        </w:rPr>
        <w:t>%；项目支出13</w:t>
      </w:r>
      <w:r>
        <w:rPr>
          <w:rFonts w:hint="eastAsia" w:eastAsia="仿宋_GB2312" w:cs="Times New Roman"/>
          <w:sz w:val="32"/>
          <w:szCs w:val="32"/>
          <w:lang w:val="en-US" w:eastAsia="zh-CN"/>
        </w:rPr>
        <w:t>06.93</w:t>
      </w:r>
      <w:r>
        <w:rPr>
          <w:rFonts w:hint="eastAsia" w:ascii="Times New Roman" w:hAnsi="Times New Roman" w:eastAsia="仿宋_GB2312" w:cs="Times New Roman"/>
          <w:sz w:val="32"/>
          <w:szCs w:val="32"/>
          <w:lang w:val="en-US" w:eastAsia="zh-CN"/>
        </w:rPr>
        <w:t>万元，占8</w:t>
      </w:r>
      <w:r>
        <w:rPr>
          <w:rFonts w:hint="eastAsia" w:eastAsia="仿宋_GB2312" w:cs="Times New Roman"/>
          <w:sz w:val="32"/>
          <w:szCs w:val="32"/>
          <w:lang w:val="en-US" w:eastAsia="zh-CN"/>
        </w:rPr>
        <w:t>5.94</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left"/>
        <w:textAlignment w:val="auto"/>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其中：</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sz w:val="32"/>
          <w:szCs w:val="32"/>
          <w:lang w:val="en-US" w:eastAsia="zh-CN"/>
        </w:rPr>
        <w:t>社会保障和就业（类）人力资源和社会保障管理事务（款） 就业管理事务（项）:202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年决算数为</w:t>
      </w:r>
      <w:r>
        <w:rPr>
          <w:rFonts w:hint="eastAsia" w:eastAsia="仿宋_GB2312" w:cs="Times New Roman"/>
          <w:sz w:val="32"/>
          <w:szCs w:val="32"/>
          <w:lang w:val="en-US" w:eastAsia="zh-CN"/>
        </w:rPr>
        <w:t>28.09</w:t>
      </w:r>
      <w:r>
        <w:rPr>
          <w:rFonts w:hint="eastAsia" w:ascii="Times New Roman" w:hAnsi="Times New Roman" w:eastAsia="仿宋_GB2312" w:cs="Times New Roman"/>
          <w:sz w:val="32"/>
          <w:szCs w:val="32"/>
          <w:lang w:val="en-US" w:eastAsia="zh-CN"/>
        </w:rPr>
        <w:t>万元，完成预算100%。</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sz w:val="32"/>
          <w:szCs w:val="32"/>
          <w:lang w:val="en-US" w:eastAsia="zh-CN"/>
        </w:rPr>
        <w:t>社会保障和就业（类）人力资源和社会保障管理事务（款）社会保险经办机构（项）:202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年决算数为1</w:t>
      </w:r>
      <w:r>
        <w:rPr>
          <w:rFonts w:hint="eastAsia" w:eastAsia="仿宋_GB2312" w:cs="Times New Roman"/>
          <w:sz w:val="32"/>
          <w:szCs w:val="32"/>
          <w:lang w:val="en-US" w:eastAsia="zh-CN"/>
        </w:rPr>
        <w:t>45.29</w:t>
      </w:r>
      <w:r>
        <w:rPr>
          <w:rFonts w:hint="eastAsia" w:ascii="Times New Roman" w:hAnsi="Times New Roman" w:eastAsia="仿宋_GB2312" w:cs="Times New Roman"/>
          <w:sz w:val="32"/>
          <w:szCs w:val="32"/>
          <w:lang w:val="en-US" w:eastAsia="zh-CN"/>
        </w:rPr>
        <w:t>万元，完成预算100%。</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sz w:val="32"/>
          <w:szCs w:val="32"/>
          <w:lang w:val="en-US" w:eastAsia="zh-CN"/>
        </w:rPr>
        <w:t>社会保障和就业（类）人力资源和社会保障管理事务（款） 事业运行（项）:202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年决算数为</w:t>
      </w:r>
      <w:r>
        <w:rPr>
          <w:rFonts w:hint="eastAsia" w:eastAsia="仿宋_GB2312" w:cs="Times New Roman"/>
          <w:sz w:val="32"/>
          <w:szCs w:val="32"/>
          <w:lang w:val="en-US" w:eastAsia="zh-CN"/>
        </w:rPr>
        <w:t>7.2</w:t>
      </w:r>
      <w:r>
        <w:rPr>
          <w:rFonts w:hint="eastAsia" w:ascii="Times New Roman" w:hAnsi="Times New Roman" w:eastAsia="仿宋_GB2312" w:cs="Times New Roman"/>
          <w:sz w:val="32"/>
          <w:szCs w:val="32"/>
          <w:lang w:val="en-US" w:eastAsia="zh-CN"/>
        </w:rPr>
        <w:t>万元，完成预算100%。</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sz w:val="32"/>
          <w:szCs w:val="32"/>
          <w:lang w:val="en-US" w:eastAsia="zh-CN"/>
        </w:rPr>
        <w:t>社会保障和就业（类）行政事业单位养老支出（款）行政单位离退休（项）：202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年决算数为24.</w:t>
      </w:r>
      <w:r>
        <w:rPr>
          <w:rFonts w:hint="eastAsia" w:eastAsia="仿宋_GB2312" w:cs="Times New Roman"/>
          <w:sz w:val="32"/>
          <w:szCs w:val="32"/>
          <w:lang w:val="en-US" w:eastAsia="zh-CN"/>
        </w:rPr>
        <w:t>91</w:t>
      </w:r>
      <w:r>
        <w:rPr>
          <w:rFonts w:hint="eastAsia" w:ascii="Times New Roman" w:hAnsi="Times New Roman" w:eastAsia="仿宋_GB2312" w:cs="Times New Roman"/>
          <w:sz w:val="32"/>
          <w:szCs w:val="32"/>
          <w:lang w:val="en-US" w:eastAsia="zh-CN"/>
        </w:rPr>
        <w:t>万元，完成预算100%</w:t>
      </w:r>
      <w:r>
        <w:rPr>
          <w:rFonts w:hint="eastAsia"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sz w:val="32"/>
          <w:szCs w:val="32"/>
          <w:lang w:val="en-US" w:eastAsia="zh-CN"/>
        </w:rPr>
        <w:t>社会保障和就业（类）行政事业单位养老支出（款）离退休人员管理机构（项）：2022年决算数为5万元，完成预算100%。</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）社会保障和就业（类）行政事业单位养老支出（款）机关事业单位基本养老保险缴费支出（项）:202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年决算数为10.</w:t>
      </w:r>
      <w:r>
        <w:rPr>
          <w:rFonts w:hint="eastAsia" w:eastAsia="仿宋_GB2312" w:cs="Times New Roman"/>
          <w:sz w:val="32"/>
          <w:szCs w:val="32"/>
          <w:lang w:val="en-US" w:eastAsia="zh-CN"/>
        </w:rPr>
        <w:t>26</w:t>
      </w:r>
      <w:r>
        <w:rPr>
          <w:rFonts w:hint="eastAsia" w:ascii="Times New Roman" w:hAnsi="Times New Roman" w:eastAsia="仿宋_GB2312" w:cs="Times New Roman"/>
          <w:sz w:val="32"/>
          <w:szCs w:val="32"/>
          <w:lang w:val="en-US" w:eastAsia="zh-CN"/>
        </w:rPr>
        <w:t>万元，完成预算100%。</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）社会保障和就业（类）就业补助（款） 其他就业补助支出（项）:202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年决算数为1</w:t>
      </w:r>
      <w:r>
        <w:rPr>
          <w:rFonts w:hint="eastAsia" w:eastAsia="仿宋_GB2312" w:cs="Times New Roman"/>
          <w:sz w:val="32"/>
          <w:szCs w:val="32"/>
          <w:lang w:val="en-US" w:eastAsia="zh-CN"/>
        </w:rPr>
        <w:t>240</w:t>
      </w:r>
      <w:r>
        <w:rPr>
          <w:rFonts w:hint="eastAsia" w:ascii="Times New Roman" w:hAnsi="Times New Roman" w:eastAsia="仿宋_GB2312" w:cs="Times New Roman"/>
          <w:sz w:val="32"/>
          <w:szCs w:val="32"/>
          <w:lang w:val="en-US" w:eastAsia="zh-CN"/>
        </w:rPr>
        <w:t>万元，完成预算100%。</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）社会保障和就业（类）</w:t>
      </w:r>
      <w:r>
        <w:rPr>
          <w:rFonts w:hint="eastAsia" w:eastAsia="仿宋_GB2312" w:cs="Times New Roman"/>
          <w:sz w:val="32"/>
          <w:szCs w:val="32"/>
          <w:lang w:val="en-US" w:eastAsia="zh-CN"/>
        </w:rPr>
        <w:t>残疾人事业</w:t>
      </w:r>
      <w:r>
        <w:rPr>
          <w:rFonts w:hint="eastAsia" w:ascii="Times New Roman" w:hAnsi="Times New Roman" w:eastAsia="仿宋_GB2312" w:cs="Times New Roman"/>
          <w:sz w:val="32"/>
          <w:szCs w:val="32"/>
          <w:lang w:val="en-US" w:eastAsia="zh-CN"/>
        </w:rPr>
        <w:t>（款） 其他残疾人事业支出（项）:202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年决算数为</w:t>
      </w:r>
      <w:r>
        <w:rPr>
          <w:rFonts w:hint="eastAsia" w:eastAsia="仿宋_GB2312" w:cs="Times New Roman"/>
          <w:sz w:val="32"/>
          <w:szCs w:val="32"/>
          <w:lang w:val="en-US" w:eastAsia="zh-CN"/>
        </w:rPr>
        <w:t>0.8</w:t>
      </w:r>
      <w:r>
        <w:rPr>
          <w:rFonts w:hint="eastAsia" w:ascii="Times New Roman" w:hAnsi="Times New Roman" w:eastAsia="仿宋_GB2312" w:cs="Times New Roman"/>
          <w:sz w:val="32"/>
          <w:szCs w:val="32"/>
          <w:lang w:val="en-US" w:eastAsia="zh-CN"/>
        </w:rPr>
        <w:t>万元，完成预算100%。</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）卫生健康支出（类）行政事业单位医疗（款）行政单位医疗（项）:202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年决算数为</w:t>
      </w:r>
      <w:r>
        <w:rPr>
          <w:rFonts w:hint="eastAsia" w:eastAsia="仿宋_GB2312" w:cs="Times New Roman"/>
          <w:sz w:val="32"/>
          <w:szCs w:val="32"/>
          <w:lang w:val="en-US" w:eastAsia="zh-CN"/>
        </w:rPr>
        <w:t>8.41</w:t>
      </w:r>
      <w:r>
        <w:rPr>
          <w:rFonts w:hint="eastAsia" w:ascii="Times New Roman" w:hAnsi="Times New Roman" w:eastAsia="仿宋_GB2312" w:cs="Times New Roman"/>
          <w:sz w:val="32"/>
          <w:szCs w:val="32"/>
          <w:lang w:val="en-US" w:eastAsia="zh-CN"/>
        </w:rPr>
        <w:t>万元，完成预算100%。</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）卫生健康支出（类）行政事业单位医疗（款）</w:t>
      </w:r>
      <w:r>
        <w:rPr>
          <w:rFonts w:hint="eastAsia" w:eastAsia="仿宋_GB2312" w:cs="Times New Roman"/>
          <w:sz w:val="32"/>
          <w:szCs w:val="32"/>
          <w:lang w:val="en-US" w:eastAsia="zh-CN"/>
        </w:rPr>
        <w:t>事业</w:t>
      </w:r>
      <w:r>
        <w:rPr>
          <w:rFonts w:hint="eastAsia" w:ascii="Times New Roman" w:hAnsi="Times New Roman" w:eastAsia="仿宋_GB2312" w:cs="Times New Roman"/>
          <w:sz w:val="32"/>
          <w:szCs w:val="32"/>
          <w:lang w:val="en-US" w:eastAsia="zh-CN"/>
        </w:rPr>
        <w:t>单位医疗（项）:202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年决算数为</w:t>
      </w:r>
      <w:r>
        <w:rPr>
          <w:rFonts w:hint="eastAsia" w:eastAsia="仿宋_GB2312" w:cs="Times New Roman"/>
          <w:sz w:val="32"/>
          <w:szCs w:val="32"/>
          <w:lang w:val="en-US" w:eastAsia="zh-CN"/>
        </w:rPr>
        <w:t>0.06</w:t>
      </w:r>
      <w:r>
        <w:rPr>
          <w:rFonts w:hint="eastAsia" w:ascii="Times New Roman" w:hAnsi="Times New Roman" w:eastAsia="仿宋_GB2312" w:cs="Times New Roman"/>
          <w:sz w:val="32"/>
          <w:szCs w:val="32"/>
          <w:lang w:val="en-US" w:eastAsia="zh-CN"/>
        </w:rPr>
        <w:t>万元，完成预算100%。</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）卫生健康支出（类）行政事业单位医疗（款）公务员医疗补助（项）:202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年决算数为2.</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万元，完成预算100%。</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）农林水支出（类）巩固脱贫衔接乡村振兴（款）  其他巩固脱贫衔接乡村振兴支出（项）:202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年决算数为</w:t>
      </w:r>
      <w:r>
        <w:rPr>
          <w:rFonts w:hint="eastAsia" w:eastAsia="仿宋_GB2312" w:cs="Times New Roman"/>
          <w:sz w:val="32"/>
          <w:szCs w:val="32"/>
          <w:lang w:val="en-US" w:eastAsia="zh-CN"/>
        </w:rPr>
        <w:t>40.52</w:t>
      </w:r>
      <w:r>
        <w:rPr>
          <w:rFonts w:hint="eastAsia" w:ascii="Times New Roman" w:hAnsi="Times New Roman" w:eastAsia="仿宋_GB2312" w:cs="Times New Roman"/>
          <w:sz w:val="32"/>
          <w:szCs w:val="32"/>
          <w:lang w:val="en-US" w:eastAsia="zh-CN"/>
        </w:rPr>
        <w:t>万元，完成预算100%。</w:t>
      </w:r>
    </w:p>
    <w:p>
      <w:pPr>
        <w:pStyle w:val="6"/>
        <w:numPr>
          <w:ilvl w:val="0"/>
          <w:numId w:val="0"/>
        </w:numPr>
        <w:ind w:left="640" w:leftChars="0"/>
        <w:rPr>
          <w:rFonts w:hint="eastAsia"/>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13</w:t>
      </w:r>
      <w:r>
        <w:rPr>
          <w:rFonts w:hint="eastAsia" w:ascii="Times New Roman" w:hAnsi="Times New Roman" w:eastAsia="仿宋_GB2312" w:cs="Times New Roman"/>
          <w:sz w:val="32"/>
          <w:szCs w:val="32"/>
          <w:lang w:val="en-US" w:eastAsia="zh-CN"/>
        </w:rPr>
        <w:t>）住房保障支出（类）住房改革支出（款）住房公积金（项）:202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年决算数为7.</w:t>
      </w:r>
      <w:r>
        <w:rPr>
          <w:rFonts w:hint="eastAsia" w:eastAsia="仿宋_GB2312" w:cs="Times New Roman"/>
          <w:sz w:val="32"/>
          <w:szCs w:val="32"/>
          <w:lang w:val="en-US" w:eastAsia="zh-CN"/>
        </w:rPr>
        <w:t>69</w:t>
      </w:r>
      <w:r>
        <w:rPr>
          <w:rFonts w:hint="eastAsia" w:ascii="Times New Roman" w:hAnsi="Times New Roman" w:eastAsia="仿宋_GB2312" w:cs="Times New Roman"/>
          <w:sz w:val="32"/>
          <w:szCs w:val="32"/>
          <w:lang w:val="en-US" w:eastAsia="zh-CN"/>
        </w:rPr>
        <w:t>万元，完成预算100%。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pStyle w:val="6"/>
        <w:rPr>
          <w:rFonts w:hint="default"/>
          <w:lang w:val="en-US" w:eastAsia="zh-CN"/>
        </w:rPr>
      </w:pPr>
      <w:r>
        <w:rPr>
          <w:rFonts w:hint="eastAsia" w:eastAsia="方正仿宋_GBK" w:cs="Times New Roman"/>
          <w:color w:val="auto"/>
          <w:kern w:val="0"/>
          <w:sz w:val="33"/>
          <w:szCs w:val="33"/>
          <w:shd w:val="clear" w:color="auto" w:fill="FFFFFF"/>
          <w:lang w:val="en-US" w:eastAsia="zh-CN"/>
        </w:rPr>
        <w:t>2022</w:t>
      </w:r>
      <w:r>
        <w:rPr>
          <w:rFonts w:hint="default" w:ascii="Times New Roman" w:hAnsi="Times New Roman" w:eastAsia="方正仿宋_GBK" w:cs="Times New Roman"/>
          <w:color w:val="auto"/>
          <w:kern w:val="0"/>
          <w:sz w:val="33"/>
          <w:szCs w:val="33"/>
          <w:shd w:val="clear" w:color="auto" w:fill="FFFFFF"/>
          <w:lang w:val="en-US" w:eastAsia="zh-CN"/>
        </w:rPr>
        <w:t>年财政拨款结转结余</w:t>
      </w:r>
      <w:r>
        <w:rPr>
          <w:rFonts w:hint="eastAsia" w:ascii="Times New Roman" w:hAnsi="Times New Roman" w:eastAsia="方正仿宋_GBK" w:cs="Times New Roman"/>
          <w:color w:val="auto"/>
          <w:kern w:val="0"/>
          <w:sz w:val="33"/>
          <w:szCs w:val="33"/>
          <w:shd w:val="clear" w:color="auto" w:fill="FFFFFF"/>
          <w:lang w:val="en-US" w:eastAsia="zh-CN"/>
        </w:rPr>
        <w:t>0万元。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4" w:name="_Toc26359"/>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84"/>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pStyle w:val="6"/>
        <w:rPr>
          <w:rFonts w:hint="eastAsia"/>
          <w:lang w:val="en-US" w:eastAsia="zh-CN"/>
        </w:rPr>
      </w:pPr>
      <w:r>
        <w:rPr>
          <w:rFonts w:hint="eastAsia" w:ascii="方正仿宋_GBK" w:hAnsi="宋体" w:eastAsia="方正仿宋_GBK" w:cs="宋体"/>
          <w:color w:val="000000"/>
          <w:kern w:val="0"/>
          <w:sz w:val="33"/>
          <w:szCs w:val="33"/>
          <w:shd w:val="clear" w:color="auto" w:fill="FFFFFF"/>
          <w:lang w:val="zh-CN"/>
        </w:rPr>
        <w:t>我</w:t>
      </w:r>
      <w:r>
        <w:rPr>
          <w:rFonts w:hint="eastAsia" w:ascii="方正仿宋_GBK" w:hAnsi="宋体" w:eastAsia="方正仿宋_GBK" w:cs="宋体"/>
          <w:color w:val="000000"/>
          <w:kern w:val="0"/>
          <w:sz w:val="33"/>
          <w:szCs w:val="33"/>
          <w:shd w:val="clear" w:color="auto" w:fill="FFFFFF"/>
          <w:lang w:val="en-US" w:eastAsia="zh-CN"/>
        </w:rPr>
        <w:t>局</w:t>
      </w:r>
      <w:r>
        <w:rPr>
          <w:rFonts w:hint="eastAsia" w:ascii="方正仿宋_GBK" w:hAnsi="宋体" w:eastAsia="方正仿宋_GBK" w:cs="宋体"/>
          <w:color w:val="000000"/>
          <w:kern w:val="0"/>
          <w:sz w:val="33"/>
          <w:szCs w:val="33"/>
          <w:shd w:val="clear" w:color="auto" w:fill="FFFFFF"/>
          <w:lang w:val="zh-CN"/>
        </w:rPr>
        <w:t>预算编制一是严格按照区级部门预算编制通知和有关要求，按时完成</w:t>
      </w:r>
      <w:r>
        <w:rPr>
          <w:rFonts w:hint="eastAsia" w:ascii="方正仿宋_GBK" w:hAnsi="宋体" w:eastAsia="方正仿宋_GBK" w:cs="宋体"/>
          <w:color w:val="000000"/>
          <w:kern w:val="0"/>
          <w:sz w:val="33"/>
          <w:szCs w:val="33"/>
          <w:shd w:val="clear" w:color="auto" w:fill="FFFFFF"/>
          <w:lang w:val="en-US" w:eastAsia="zh-CN"/>
        </w:rPr>
        <w:t>相关</w:t>
      </w:r>
      <w:r>
        <w:rPr>
          <w:rFonts w:hint="eastAsia" w:ascii="方正仿宋_GBK" w:hAnsi="宋体" w:eastAsia="方正仿宋_GBK" w:cs="宋体"/>
          <w:color w:val="000000"/>
          <w:kern w:val="0"/>
          <w:sz w:val="33"/>
          <w:szCs w:val="33"/>
          <w:shd w:val="clear" w:color="auto" w:fill="FFFFFF"/>
          <w:lang w:val="zh-CN"/>
        </w:rPr>
        <w:t>报送工作；二是部门整体绩效目标年初时按区财政局要求根据我</w:t>
      </w:r>
      <w:r>
        <w:rPr>
          <w:rFonts w:hint="eastAsia" w:ascii="方正仿宋_GBK" w:hAnsi="宋体" w:eastAsia="方正仿宋_GBK" w:cs="宋体"/>
          <w:color w:val="000000"/>
          <w:kern w:val="0"/>
          <w:sz w:val="33"/>
          <w:szCs w:val="33"/>
          <w:shd w:val="clear" w:color="auto" w:fill="FFFFFF"/>
          <w:lang w:val="en-US" w:eastAsia="zh-CN"/>
        </w:rPr>
        <w:t>局</w:t>
      </w:r>
      <w:r>
        <w:rPr>
          <w:rFonts w:hint="eastAsia" w:ascii="方正仿宋_GBK" w:hAnsi="宋体" w:eastAsia="方正仿宋_GBK" w:cs="宋体"/>
          <w:color w:val="000000"/>
          <w:kern w:val="0"/>
          <w:sz w:val="33"/>
          <w:szCs w:val="33"/>
          <w:shd w:val="clear" w:color="auto" w:fill="FFFFFF"/>
          <w:lang w:val="zh-CN"/>
        </w:rPr>
        <w:t>自拟目标进行填报，编制完整、合理；三是重点项目绩效目标编制明确、量化，项目经费由我</w:t>
      </w:r>
      <w:r>
        <w:rPr>
          <w:rFonts w:hint="eastAsia" w:ascii="方正仿宋_GBK" w:hAnsi="宋体" w:eastAsia="方正仿宋_GBK" w:cs="宋体"/>
          <w:color w:val="000000"/>
          <w:kern w:val="0"/>
          <w:sz w:val="33"/>
          <w:szCs w:val="33"/>
          <w:shd w:val="clear" w:color="auto" w:fill="FFFFFF"/>
          <w:lang w:val="en-US" w:eastAsia="zh-CN"/>
        </w:rPr>
        <w:t>局</w:t>
      </w:r>
      <w:r>
        <w:rPr>
          <w:rFonts w:hint="eastAsia" w:ascii="方正仿宋_GBK" w:hAnsi="宋体" w:eastAsia="方正仿宋_GBK" w:cs="宋体"/>
          <w:color w:val="000000"/>
          <w:kern w:val="0"/>
          <w:sz w:val="33"/>
          <w:szCs w:val="33"/>
          <w:shd w:val="clear" w:color="auto" w:fill="FFFFFF"/>
          <w:lang w:val="zh-CN"/>
        </w:rPr>
        <w:t>根据项目、进度按程序申报，经政府领导审批后由财政据实拨付，结余结转严格按照区财政局要求进行管理，纳入下一年度预算。</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我</w:t>
      </w:r>
      <w:r>
        <w:rPr>
          <w:rFonts w:hint="eastAsia" w:ascii="方正仿宋_GBK" w:hAnsi="宋体" w:eastAsia="方正仿宋_GBK" w:cs="宋体"/>
          <w:color w:val="000000"/>
          <w:kern w:val="0"/>
          <w:sz w:val="33"/>
          <w:szCs w:val="33"/>
          <w:shd w:val="clear" w:color="auto" w:fill="FFFFFF"/>
          <w:lang w:val="en-US" w:eastAsia="zh-CN"/>
        </w:rPr>
        <w:t>局</w:t>
      </w:r>
      <w:r>
        <w:rPr>
          <w:rFonts w:hint="eastAsia" w:ascii="方正仿宋_GBK" w:hAnsi="宋体" w:eastAsia="方正仿宋_GBK" w:cs="宋体"/>
          <w:color w:val="000000"/>
          <w:kern w:val="0"/>
          <w:sz w:val="33"/>
          <w:szCs w:val="33"/>
          <w:shd w:val="clear" w:color="auto" w:fill="FFFFFF"/>
          <w:lang w:val="zh-CN"/>
        </w:rPr>
        <w:t>预算编制一是严格按照区级部门预算编制通知和有关要求，按时完成</w:t>
      </w:r>
      <w:r>
        <w:rPr>
          <w:rFonts w:hint="eastAsia" w:ascii="方正仿宋_GBK" w:hAnsi="宋体" w:eastAsia="方正仿宋_GBK" w:cs="宋体"/>
          <w:color w:val="000000"/>
          <w:kern w:val="0"/>
          <w:sz w:val="33"/>
          <w:szCs w:val="33"/>
          <w:shd w:val="clear" w:color="auto" w:fill="FFFFFF"/>
          <w:lang w:val="en-US" w:eastAsia="zh-CN"/>
        </w:rPr>
        <w:t>相关</w:t>
      </w:r>
      <w:r>
        <w:rPr>
          <w:rFonts w:hint="eastAsia" w:ascii="方正仿宋_GBK" w:hAnsi="宋体" w:eastAsia="方正仿宋_GBK" w:cs="宋体"/>
          <w:color w:val="000000"/>
          <w:kern w:val="0"/>
          <w:sz w:val="33"/>
          <w:szCs w:val="33"/>
          <w:shd w:val="clear" w:color="auto" w:fill="FFFFFF"/>
          <w:lang w:val="zh-CN"/>
        </w:rPr>
        <w:t>报送工作；二是部门整体绩效目标年初时按区财政局要求根据我</w:t>
      </w:r>
      <w:r>
        <w:rPr>
          <w:rFonts w:hint="eastAsia" w:ascii="方正仿宋_GBK" w:hAnsi="宋体" w:eastAsia="方正仿宋_GBK" w:cs="宋体"/>
          <w:color w:val="000000"/>
          <w:kern w:val="0"/>
          <w:sz w:val="33"/>
          <w:szCs w:val="33"/>
          <w:shd w:val="clear" w:color="auto" w:fill="FFFFFF"/>
          <w:lang w:val="en-US" w:eastAsia="zh-CN"/>
        </w:rPr>
        <w:t>局</w:t>
      </w:r>
      <w:r>
        <w:rPr>
          <w:rFonts w:hint="eastAsia" w:ascii="方正仿宋_GBK" w:hAnsi="宋体" w:eastAsia="方正仿宋_GBK" w:cs="宋体"/>
          <w:color w:val="000000"/>
          <w:kern w:val="0"/>
          <w:sz w:val="33"/>
          <w:szCs w:val="33"/>
          <w:shd w:val="clear" w:color="auto" w:fill="FFFFFF"/>
          <w:lang w:val="zh-CN"/>
        </w:rPr>
        <w:t>自拟目标进行填报，编制完整、合理；三是重点项目绩效目标编制明确、量化，项目经费由我</w:t>
      </w:r>
      <w:r>
        <w:rPr>
          <w:rFonts w:hint="eastAsia" w:ascii="方正仿宋_GBK" w:hAnsi="宋体" w:eastAsia="方正仿宋_GBK" w:cs="宋体"/>
          <w:color w:val="000000"/>
          <w:kern w:val="0"/>
          <w:sz w:val="33"/>
          <w:szCs w:val="33"/>
          <w:shd w:val="clear" w:color="auto" w:fill="FFFFFF"/>
          <w:lang w:val="en-US" w:eastAsia="zh-CN"/>
        </w:rPr>
        <w:t>局</w:t>
      </w:r>
      <w:r>
        <w:rPr>
          <w:rFonts w:hint="eastAsia" w:ascii="方正仿宋_GBK" w:hAnsi="宋体" w:eastAsia="方正仿宋_GBK" w:cs="宋体"/>
          <w:color w:val="000000"/>
          <w:kern w:val="0"/>
          <w:sz w:val="33"/>
          <w:szCs w:val="33"/>
          <w:shd w:val="clear" w:color="auto" w:fill="FFFFFF"/>
          <w:lang w:val="zh-CN"/>
        </w:rPr>
        <w:t>根据项目、进度按程序申报，经政府领导审批后由财政据实拨付，结余结转严格按照区财政局要求进行管理，纳入下一年度预算。</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我</w:t>
      </w:r>
      <w:r>
        <w:rPr>
          <w:rFonts w:hint="eastAsia" w:ascii="方正仿宋_GBK" w:hAnsi="宋体" w:eastAsia="方正仿宋_GBK" w:cs="宋体"/>
          <w:color w:val="000000"/>
          <w:kern w:val="0"/>
          <w:sz w:val="33"/>
          <w:szCs w:val="33"/>
          <w:shd w:val="clear" w:color="auto" w:fill="FFFFFF"/>
          <w:lang w:val="en-US" w:eastAsia="zh-CN"/>
        </w:rPr>
        <w:t>局</w:t>
      </w:r>
      <w:r>
        <w:rPr>
          <w:rFonts w:hint="eastAsia" w:ascii="方正仿宋_GBK" w:hAnsi="宋体" w:eastAsia="方正仿宋_GBK" w:cs="宋体"/>
          <w:color w:val="000000"/>
          <w:kern w:val="0"/>
          <w:sz w:val="33"/>
          <w:szCs w:val="33"/>
          <w:shd w:val="clear" w:color="auto" w:fill="FFFFFF"/>
          <w:lang w:val="zh-CN"/>
        </w:rPr>
        <w:t>预算编制一是严格按照区级部门预算编制通知和有关要求，按时完成</w:t>
      </w:r>
      <w:r>
        <w:rPr>
          <w:rFonts w:hint="eastAsia" w:ascii="方正仿宋_GBK" w:hAnsi="宋体" w:eastAsia="方正仿宋_GBK" w:cs="宋体"/>
          <w:color w:val="000000"/>
          <w:kern w:val="0"/>
          <w:sz w:val="33"/>
          <w:szCs w:val="33"/>
          <w:shd w:val="clear" w:color="auto" w:fill="FFFFFF"/>
          <w:lang w:val="en-US" w:eastAsia="zh-CN"/>
        </w:rPr>
        <w:t>相关</w:t>
      </w:r>
      <w:r>
        <w:rPr>
          <w:rFonts w:hint="eastAsia" w:ascii="方正仿宋_GBK" w:hAnsi="宋体" w:eastAsia="方正仿宋_GBK" w:cs="宋体"/>
          <w:color w:val="000000"/>
          <w:kern w:val="0"/>
          <w:sz w:val="33"/>
          <w:szCs w:val="33"/>
          <w:shd w:val="clear" w:color="auto" w:fill="FFFFFF"/>
          <w:lang w:val="zh-CN"/>
        </w:rPr>
        <w:t>报送工作；二是部门整体绩效目标年初时按区财政局要求根据我</w:t>
      </w:r>
      <w:r>
        <w:rPr>
          <w:rFonts w:hint="eastAsia" w:ascii="方正仿宋_GBK" w:hAnsi="宋体" w:eastAsia="方正仿宋_GBK" w:cs="宋体"/>
          <w:color w:val="000000"/>
          <w:kern w:val="0"/>
          <w:sz w:val="33"/>
          <w:szCs w:val="33"/>
          <w:shd w:val="clear" w:color="auto" w:fill="FFFFFF"/>
          <w:lang w:val="en-US" w:eastAsia="zh-CN"/>
        </w:rPr>
        <w:t>局</w:t>
      </w:r>
      <w:r>
        <w:rPr>
          <w:rFonts w:hint="eastAsia" w:ascii="方正仿宋_GBK" w:hAnsi="宋体" w:eastAsia="方正仿宋_GBK" w:cs="宋体"/>
          <w:color w:val="000000"/>
          <w:kern w:val="0"/>
          <w:sz w:val="33"/>
          <w:szCs w:val="33"/>
          <w:shd w:val="clear" w:color="auto" w:fill="FFFFFF"/>
          <w:lang w:val="zh-CN"/>
        </w:rPr>
        <w:t>自拟目标进行填报，编制完整、合理；三是重点项目绩效目标编制明确、量化，项目经费由我</w:t>
      </w:r>
      <w:r>
        <w:rPr>
          <w:rFonts w:hint="eastAsia" w:ascii="方正仿宋_GBK" w:hAnsi="宋体" w:eastAsia="方正仿宋_GBK" w:cs="宋体"/>
          <w:color w:val="000000"/>
          <w:kern w:val="0"/>
          <w:sz w:val="33"/>
          <w:szCs w:val="33"/>
          <w:shd w:val="clear" w:color="auto" w:fill="FFFFFF"/>
          <w:lang w:val="en-US" w:eastAsia="zh-CN"/>
        </w:rPr>
        <w:t>局</w:t>
      </w:r>
      <w:r>
        <w:rPr>
          <w:rFonts w:hint="eastAsia" w:ascii="方正仿宋_GBK" w:hAnsi="宋体" w:eastAsia="方正仿宋_GBK" w:cs="宋体"/>
          <w:color w:val="000000"/>
          <w:kern w:val="0"/>
          <w:sz w:val="33"/>
          <w:szCs w:val="33"/>
          <w:shd w:val="clear" w:color="auto" w:fill="FFFFFF"/>
          <w:lang w:val="zh-CN"/>
        </w:rPr>
        <w:t>根据项目、进度按程序申报，经政府领导审批后由财政据实拨付，结余结转严格按照区财政局要求进行管理，纳入下一年度预算。</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zh-CN" w:eastAsia="zh-CN" w:bidi="ar-SA"/>
        </w:rPr>
        <w:t>202</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zh-CN" w:eastAsia="zh-CN" w:bidi="ar-SA"/>
        </w:rPr>
        <w:t>年</w:t>
      </w:r>
      <w:r>
        <w:rPr>
          <w:rFonts w:hint="eastAsia" w:ascii="Times New Roman" w:hAnsi="Times New Roman" w:eastAsia="方正仿宋_GBK" w:cs="Times New Roman"/>
          <w:kern w:val="2"/>
          <w:sz w:val="33"/>
          <w:szCs w:val="33"/>
          <w:lang w:val="en-US" w:eastAsia="zh-CN" w:bidi="ar-SA"/>
        </w:rPr>
        <w:t>区就业局</w:t>
      </w:r>
      <w:r>
        <w:rPr>
          <w:rFonts w:hint="eastAsia" w:ascii="Times New Roman" w:hAnsi="Times New Roman" w:eastAsia="方正仿宋_GBK" w:cs="Times New Roman"/>
          <w:kern w:val="2"/>
          <w:sz w:val="33"/>
          <w:szCs w:val="33"/>
          <w:lang w:val="zh-CN" w:eastAsia="zh-CN" w:bidi="ar-SA"/>
        </w:rPr>
        <w:t>绩效目标制定详细完整、指标细化量化，预期目标完成良好、预算编制较为准确、基本支出与项目支出控制合理、按照实际情况开展运行监控，根据监控结果进行预算动态调整，总体执行进度、预算完成情况良好，202</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zh-CN" w:eastAsia="zh-CN" w:bidi="ar-SA"/>
        </w:rPr>
        <w:t>年</w:t>
      </w:r>
      <w:r>
        <w:rPr>
          <w:rFonts w:hint="eastAsia" w:ascii="Times New Roman" w:hAnsi="Times New Roman" w:eastAsia="方正仿宋_GBK" w:cs="Times New Roman"/>
          <w:kern w:val="2"/>
          <w:sz w:val="33"/>
          <w:szCs w:val="33"/>
          <w:lang w:val="en-US" w:eastAsia="zh-CN" w:bidi="ar-SA"/>
        </w:rPr>
        <w:t>区就业局</w:t>
      </w:r>
      <w:r>
        <w:rPr>
          <w:rFonts w:hint="eastAsia" w:ascii="Times New Roman" w:hAnsi="Times New Roman" w:eastAsia="方正仿宋_GBK" w:cs="Times New Roman"/>
          <w:kern w:val="2"/>
          <w:sz w:val="33"/>
          <w:szCs w:val="33"/>
          <w:lang w:val="zh-CN" w:eastAsia="zh-CN" w:bidi="ar-SA"/>
        </w:rPr>
        <w:t>部门预决算管理合理合规。预算编制，实事求是，确保预算的准确性、及时性;专项预算项目按照程序严密、规划合理的原则实施、管理结果符合审计要求、项目分配科学、分配及时，没有违规记录等情况。</w:t>
      </w:r>
      <w:r>
        <w:rPr>
          <w:rFonts w:hint="eastAsia" w:eastAsia="方正仿宋_GBK" w:cs="Times New Roman"/>
          <w:kern w:val="2"/>
          <w:sz w:val="33"/>
          <w:szCs w:val="33"/>
          <w:lang w:val="en-US" w:eastAsia="zh-CN" w:bidi="ar-SA"/>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Times New Roman" w:hAnsi="Times New Roman" w:eastAsia="方正仿宋_GBK" w:cs="Times New Roman"/>
          <w:kern w:val="2"/>
          <w:sz w:val="33"/>
          <w:szCs w:val="33"/>
          <w:lang w:val="zh-CN" w:eastAsia="zh-CN" w:bidi="ar-SA"/>
        </w:rPr>
        <w:t>我单位严格对照项目支出绩效评价发现的问题，查找管理漏洞，强化结果应用，将评价结果用于制定政策、完善内控管理制度，用于改进项目管理、财务管理和资金使用管理，用于调整预算安排方式、增减预算规模和优化支出结构，不断提高资金使用效益。</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总体运行情况良好，达到预期绩效目标。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5" w:name="_Toc24761"/>
      <w:r>
        <w:rPr>
          <w:rFonts w:hint="eastAsia" w:ascii="黑体" w:hAnsi="宋体" w:eastAsia="黑体" w:cs="宋体"/>
          <w:color w:val="auto"/>
          <w:kern w:val="0"/>
          <w:sz w:val="32"/>
          <w:szCs w:val="32"/>
          <w:highlight w:val="none"/>
          <w:shd w:val="clear" w:color="auto" w:fill="FFFFFF"/>
        </w:rPr>
        <w:t>四、评价结论及建议</w:t>
      </w:r>
      <w:bookmarkEnd w:id="85"/>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pStyle w:val="6"/>
        <w:rPr>
          <w:rFonts w:hint="eastAsia"/>
          <w:lang w:val="zh-CN"/>
        </w:rPr>
      </w:pPr>
      <w:r>
        <w:rPr>
          <w:rFonts w:hint="eastAsia" w:ascii="Times New Roman" w:hAnsi="Times New Roman" w:eastAsia="方正仿宋_GBK" w:cs="Times New Roman"/>
          <w:kern w:val="2"/>
          <w:sz w:val="33"/>
          <w:szCs w:val="33"/>
          <w:lang w:val="en-US" w:eastAsia="zh-CN" w:bidi="ar-SA"/>
        </w:rPr>
        <w:t>202</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en-US" w:eastAsia="zh-CN" w:bidi="ar-SA"/>
        </w:rPr>
        <w:t>年，在区委、区政府和区人社局的正确领导以及上级业务部门的具体指导下，我区就业创业服务各项工作整体呈现稳中有升、高位求进的良好发展态势，圆满完成了各项年度目标任务，为我区经济发展和社会稳定做出积极贡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shd w:val="clear" w:fill="FFFFFF"/>
          <w:lang w:val="zh-CN" w:eastAsia="zh-CN" w:bidi="ar-SA"/>
        </w:rPr>
        <w:t>（</w:t>
      </w:r>
      <w:r>
        <w:rPr>
          <w:rFonts w:hint="eastAsia" w:ascii="楷体_GB2312" w:hAnsi="楷体_GB2312" w:eastAsia="楷体_GB2312" w:cs="楷体_GB2312"/>
          <w:b/>
          <w:bCs/>
          <w:color w:val="auto"/>
          <w:kern w:val="0"/>
          <w:sz w:val="32"/>
          <w:szCs w:val="32"/>
          <w:shd w:val="clear" w:fill="FFFFFF"/>
          <w:lang w:val="en-US" w:eastAsia="zh-CN" w:bidi="ar-SA"/>
        </w:rPr>
        <w:t>二</w:t>
      </w:r>
      <w:r>
        <w:rPr>
          <w:rFonts w:hint="eastAsia" w:ascii="楷体_GB2312" w:hAnsi="楷体_GB2312" w:eastAsia="楷体_GB2312" w:cs="楷体_GB2312"/>
          <w:b/>
          <w:bCs/>
          <w:color w:val="auto"/>
          <w:kern w:val="0"/>
          <w:sz w:val="32"/>
          <w:szCs w:val="32"/>
          <w:shd w:val="clear" w:fill="FFFFFF"/>
          <w:lang w:val="zh-CN" w:eastAsia="zh-CN" w:bidi="ar-SA"/>
        </w:rPr>
        <w:t>）</w:t>
      </w: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pStyle w:val="6"/>
        <w:numPr>
          <w:ilvl w:val="0"/>
          <w:numId w:val="0"/>
        </w:numPr>
        <w:ind w:firstLine="660" w:firstLineChars="200"/>
        <w:rPr>
          <w:rFonts w:hint="eastAsia"/>
          <w:lang w:val="zh-CN"/>
        </w:rPr>
      </w:pPr>
      <w:r>
        <w:rPr>
          <w:rFonts w:hint="eastAsia" w:ascii="Times New Roman" w:hAnsi="Times New Roman" w:eastAsia="方正仿宋_GBK" w:cs="Times New Roman"/>
          <w:kern w:val="2"/>
          <w:sz w:val="33"/>
          <w:szCs w:val="33"/>
          <w:lang w:val="zh-CN" w:eastAsia="zh-CN" w:bidi="ar-SA"/>
        </w:rPr>
        <w:t>年初</w:t>
      </w:r>
      <w:r>
        <w:rPr>
          <w:rFonts w:hint="eastAsia" w:ascii="Times New Roman" w:hAnsi="Times New Roman" w:eastAsia="方正仿宋_GBK" w:cs="Times New Roman"/>
          <w:kern w:val="2"/>
          <w:sz w:val="33"/>
          <w:szCs w:val="33"/>
          <w:lang w:val="en-US" w:eastAsia="zh-CN" w:bidi="ar-SA"/>
        </w:rPr>
        <w:t>的</w:t>
      </w:r>
      <w:r>
        <w:rPr>
          <w:rFonts w:hint="eastAsia" w:ascii="Times New Roman" w:hAnsi="Times New Roman" w:eastAsia="方正仿宋_GBK" w:cs="Times New Roman"/>
          <w:kern w:val="2"/>
          <w:sz w:val="33"/>
          <w:szCs w:val="33"/>
          <w:lang w:val="zh-CN" w:eastAsia="zh-CN" w:bidi="ar-SA"/>
        </w:rPr>
        <w:t>预算编制</w:t>
      </w:r>
      <w:r>
        <w:rPr>
          <w:rFonts w:hint="eastAsia" w:ascii="Times New Roman" w:hAnsi="Times New Roman" w:eastAsia="方正仿宋_GBK" w:cs="Times New Roman"/>
          <w:kern w:val="2"/>
          <w:sz w:val="33"/>
          <w:szCs w:val="33"/>
          <w:lang w:val="en-US" w:eastAsia="zh-CN" w:bidi="ar-SA"/>
        </w:rPr>
        <w:t>还不够完全</w:t>
      </w:r>
      <w:r>
        <w:rPr>
          <w:rFonts w:hint="eastAsia" w:ascii="Times New Roman" w:hAnsi="Times New Roman" w:eastAsia="方正仿宋_GBK" w:cs="Times New Roman"/>
          <w:kern w:val="2"/>
          <w:sz w:val="33"/>
          <w:szCs w:val="33"/>
          <w:lang w:val="zh-CN" w:eastAsia="zh-CN" w:bidi="ar-SA"/>
        </w:rPr>
        <w:t>准确，监督管理机制</w:t>
      </w:r>
      <w:r>
        <w:rPr>
          <w:rFonts w:hint="eastAsia" w:ascii="Times New Roman" w:hAnsi="Times New Roman" w:eastAsia="方正仿宋_GBK" w:cs="Times New Roman"/>
          <w:kern w:val="2"/>
          <w:sz w:val="33"/>
          <w:szCs w:val="33"/>
          <w:lang w:val="en-US" w:eastAsia="zh-CN" w:bidi="ar-SA"/>
        </w:rPr>
        <w:t>还</w:t>
      </w:r>
      <w:r>
        <w:rPr>
          <w:rFonts w:hint="eastAsia" w:ascii="Times New Roman" w:hAnsi="Times New Roman" w:eastAsia="方正仿宋_GBK" w:cs="Times New Roman"/>
          <w:kern w:val="2"/>
          <w:sz w:val="33"/>
          <w:szCs w:val="33"/>
          <w:lang w:val="zh-CN" w:eastAsia="zh-CN" w:bidi="ar-SA"/>
        </w:rPr>
        <w:t>有待加强。</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left"/>
        <w:textAlignment w:val="auto"/>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加强对编制</w:t>
      </w:r>
      <w:r>
        <w:rPr>
          <w:rFonts w:hint="eastAsia" w:ascii="Times New Roman" w:hAnsi="Times New Roman" w:eastAsia="方正仿宋_GBK" w:cs="Times New Roman"/>
          <w:kern w:val="2"/>
          <w:sz w:val="33"/>
          <w:szCs w:val="33"/>
          <w:lang w:val="zh-CN" w:eastAsia="zh-CN" w:bidi="ar-SA"/>
        </w:rPr>
        <w:t>预算管理人员</w:t>
      </w:r>
      <w:r>
        <w:rPr>
          <w:rFonts w:hint="eastAsia" w:ascii="Times New Roman" w:hAnsi="Times New Roman" w:eastAsia="方正仿宋_GBK" w:cs="Times New Roman"/>
          <w:kern w:val="2"/>
          <w:sz w:val="33"/>
          <w:szCs w:val="33"/>
          <w:lang w:val="en-US" w:eastAsia="zh-CN" w:bidi="ar-SA"/>
        </w:rPr>
        <w:t>的业务培训，提高</w:t>
      </w:r>
      <w:r>
        <w:rPr>
          <w:rFonts w:hint="eastAsia" w:ascii="Times New Roman" w:hAnsi="Times New Roman" w:eastAsia="方正仿宋_GBK" w:cs="Times New Roman"/>
          <w:kern w:val="2"/>
          <w:sz w:val="33"/>
          <w:szCs w:val="33"/>
          <w:lang w:val="zh-CN" w:eastAsia="zh-CN" w:bidi="ar-SA"/>
        </w:rPr>
        <w:t>对绩效管理的政策、绩效目标编制、绩效评价实施等方面的业务水平。</w:t>
      </w:r>
    </w:p>
    <w:p>
      <w:pPr>
        <w:pStyle w:val="6"/>
        <w:numPr>
          <w:ilvl w:val="0"/>
          <w:numId w:val="0"/>
        </w:numPr>
        <w:rPr>
          <w:rFonts w:hint="eastAsia"/>
          <w:lang w:val="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tbl>
      <w:tblPr>
        <w:tblStyle w:val="16"/>
        <w:tblW w:w="9200"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8"/>
        <w:gridCol w:w="791"/>
        <w:gridCol w:w="192"/>
        <w:gridCol w:w="904"/>
        <w:gridCol w:w="1477"/>
        <w:gridCol w:w="421"/>
        <w:gridCol w:w="814"/>
        <w:gridCol w:w="22"/>
        <w:gridCol w:w="399"/>
        <w:gridCol w:w="573"/>
        <w:gridCol w:w="363"/>
        <w:gridCol w:w="152"/>
        <w:gridCol w:w="418"/>
        <w:gridCol w:w="6"/>
        <w:gridCol w:w="403"/>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trPr>
        <w:tc>
          <w:tcPr>
            <w:tcW w:w="92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6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51160221Y000000240670-公用经费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广安市广安区就业服务管理局部门</w:t>
            </w:r>
          </w:p>
        </w:tc>
        <w:tc>
          <w:tcPr>
            <w:tcW w:w="972"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广安市广安区就业服务管理局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29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zh-CN" w:eastAsia="zh-CN" w:bidi="ar"/>
              </w:rPr>
              <w:t>绩效目标制定详细完整、指标细化量化，预期目标完成良好、预算编制较为准确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zh-CN" w:eastAsia="zh-CN" w:bidi="ar"/>
              </w:rPr>
              <w:t>严格对照项目支出绩效评价发现的问题，查找管理漏洞，强化结果应用，将评价结果用于制定政策、完善内控管理制度，用于改进项目管理、财务管理和资金使用管理，用于调整预算安排方式、增减预算规模和优化支出结构，不断提高资金使用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7.92</w:t>
            </w:r>
          </w:p>
        </w:tc>
        <w:tc>
          <w:tcPr>
            <w:tcW w:w="1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7.92</w:t>
            </w:r>
          </w:p>
        </w:tc>
        <w:tc>
          <w:tcPr>
            <w:tcW w:w="1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2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3"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92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6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51160221Y000000240755-非定额共公用经费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广安市广安区就业服务管理局部门</w:t>
            </w:r>
          </w:p>
        </w:tc>
        <w:tc>
          <w:tcPr>
            <w:tcW w:w="972"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广安市广安区就业服务管理局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29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zh-CN" w:eastAsia="zh-CN" w:bidi="ar"/>
              </w:rPr>
              <w:t>绩效目标制定详细完整、指标细化量化，预期目标完成良好、预算编制较为准确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zh-CN" w:eastAsia="zh-CN" w:bidi="ar"/>
              </w:rPr>
              <w:t>严格对照项目支出绩效评价发现的问题，查找管理漏洞，强化结果应用，将评价结果用于制定政策、完善内控管理制度，用于改进项目管理、财务管理和资金使用管理，用于调整预算安排方式、增减预算规模和优化支出结构，不断提高资金使用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8.31</w:t>
            </w:r>
          </w:p>
        </w:tc>
        <w:tc>
          <w:tcPr>
            <w:tcW w:w="1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8.31</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8.31</w:t>
            </w:r>
          </w:p>
        </w:tc>
        <w:tc>
          <w:tcPr>
            <w:tcW w:w="1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8.31</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spacing w:line="600" w:lineRule="exact"/>
        <w:jc w:val="center"/>
        <w:outlineLvl w:val="0"/>
        <w:rPr>
          <w:rFonts w:hint="eastAsia" w:ascii="仿宋" w:hAnsi="仿宋" w:eastAsia="仿宋"/>
          <w:b w:val="0"/>
          <w:color w:val="auto"/>
          <w:highlight w:val="none"/>
        </w:rPr>
      </w:pPr>
      <w:bookmarkStart w:id="86" w:name="_Toc23265"/>
      <w:bookmarkStart w:id="87" w:name="_Toc15396618"/>
      <w:r>
        <w:rPr>
          <w:rFonts w:hint="eastAsia" w:ascii="黑体" w:hAnsi="黑体" w:eastAsia="黑体"/>
          <w:color w:val="auto"/>
          <w:sz w:val="44"/>
          <w:szCs w:val="44"/>
          <w:highlight w:val="none"/>
        </w:rPr>
        <w:t>第</w:t>
      </w:r>
      <w:r>
        <w:rPr>
          <w:rStyle w:val="34"/>
          <w:rFonts w:hint="eastAsia" w:ascii="黑体" w:hAnsi="黑体" w:eastAsia="黑体"/>
          <w:b w:val="0"/>
          <w:color w:val="auto"/>
          <w:highlight w:val="none"/>
        </w:rPr>
        <w:t>五部分 附表</w:t>
      </w:r>
      <w:bookmarkEnd w:id="78"/>
      <w:bookmarkEnd w:id="86"/>
      <w:bookmarkEnd w:id="87"/>
      <w:bookmarkStart w:id="88" w:name="_Toc15396619"/>
    </w:p>
    <w:p>
      <w:pPr>
        <w:pStyle w:val="4"/>
        <w:rPr>
          <w:rFonts w:ascii="仿宋" w:hAnsi="仿宋" w:eastAsia="仿宋"/>
          <w:color w:val="auto"/>
          <w:highlight w:val="none"/>
        </w:rPr>
      </w:pPr>
      <w:bookmarkStart w:id="89" w:name="_Toc9428"/>
      <w:r>
        <w:rPr>
          <w:rFonts w:hint="eastAsia" w:ascii="仿宋" w:hAnsi="仿宋" w:eastAsia="仿宋"/>
          <w:b w:val="0"/>
          <w:color w:val="auto"/>
          <w:highlight w:val="none"/>
        </w:rPr>
        <w:t>一、收</w:t>
      </w:r>
      <w:r>
        <w:rPr>
          <w:rStyle w:val="35"/>
          <w:rFonts w:hint="eastAsia" w:ascii="仿宋" w:hAnsi="仿宋" w:eastAsia="仿宋"/>
          <w:b w:val="0"/>
          <w:bCs w:val="0"/>
          <w:color w:val="auto"/>
          <w:highlight w:val="none"/>
        </w:rPr>
        <w:t>入支出决算总表</w:t>
      </w:r>
      <w:bookmarkEnd w:id="88"/>
      <w:bookmarkEnd w:id="89"/>
    </w:p>
    <w:p>
      <w:pPr>
        <w:pStyle w:val="4"/>
        <w:rPr>
          <w:rFonts w:ascii="仿宋" w:hAnsi="仿宋" w:eastAsia="仿宋"/>
          <w:color w:val="auto"/>
          <w:highlight w:val="none"/>
        </w:rPr>
      </w:pPr>
      <w:bookmarkStart w:id="90" w:name="_Toc15396620"/>
      <w:bookmarkStart w:id="91" w:name="_Toc4518"/>
      <w:r>
        <w:rPr>
          <w:rFonts w:hint="eastAsia" w:ascii="仿宋" w:hAnsi="仿宋" w:eastAsia="仿宋"/>
          <w:b w:val="0"/>
          <w:color w:val="auto"/>
          <w:highlight w:val="none"/>
        </w:rPr>
        <w:t>二、收</w:t>
      </w:r>
      <w:r>
        <w:rPr>
          <w:rStyle w:val="35"/>
          <w:rFonts w:hint="eastAsia" w:ascii="仿宋" w:hAnsi="仿宋" w:eastAsia="仿宋"/>
          <w:b w:val="0"/>
          <w:bCs w:val="0"/>
          <w:color w:val="auto"/>
          <w:highlight w:val="none"/>
        </w:rPr>
        <w:t>入决算表</w:t>
      </w:r>
      <w:bookmarkEnd w:id="90"/>
      <w:bookmarkEnd w:id="91"/>
    </w:p>
    <w:p>
      <w:pPr>
        <w:pStyle w:val="4"/>
        <w:rPr>
          <w:rFonts w:ascii="仿宋" w:hAnsi="仿宋" w:eastAsia="仿宋"/>
          <w:color w:val="auto"/>
          <w:highlight w:val="none"/>
        </w:rPr>
      </w:pPr>
      <w:bookmarkStart w:id="92" w:name="_Toc15396621"/>
      <w:bookmarkStart w:id="93" w:name="_Toc20319"/>
      <w:r>
        <w:rPr>
          <w:rStyle w:val="3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5"/>
          <w:rFonts w:hint="eastAsia" w:ascii="仿宋" w:hAnsi="仿宋" w:eastAsia="仿宋"/>
          <w:b w:val="0"/>
          <w:bCs w:val="0"/>
          <w:color w:val="auto"/>
          <w:highlight w:val="none"/>
        </w:rPr>
        <w:t>出决算表</w:t>
      </w:r>
      <w:bookmarkEnd w:id="92"/>
      <w:bookmarkEnd w:id="93"/>
    </w:p>
    <w:p>
      <w:pPr>
        <w:pStyle w:val="4"/>
        <w:rPr>
          <w:rFonts w:ascii="仿宋" w:hAnsi="仿宋" w:eastAsia="仿宋"/>
          <w:b w:val="0"/>
          <w:color w:val="auto"/>
          <w:highlight w:val="none"/>
        </w:rPr>
      </w:pPr>
      <w:bookmarkStart w:id="94" w:name="_Toc7449"/>
      <w:bookmarkStart w:id="95" w:name="_Toc15396622"/>
      <w:r>
        <w:rPr>
          <w:rStyle w:val="3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5"/>
          <w:rFonts w:hint="eastAsia" w:ascii="仿宋" w:hAnsi="仿宋" w:eastAsia="仿宋"/>
          <w:b w:val="0"/>
          <w:bCs w:val="0"/>
          <w:color w:val="auto"/>
          <w:highlight w:val="none"/>
        </w:rPr>
        <w:t>政拨款收入支出决算总表</w:t>
      </w:r>
      <w:bookmarkEnd w:id="94"/>
      <w:bookmarkEnd w:id="95"/>
    </w:p>
    <w:p>
      <w:pPr>
        <w:pStyle w:val="4"/>
        <w:rPr>
          <w:rStyle w:val="35"/>
          <w:rFonts w:ascii="仿宋" w:hAnsi="仿宋" w:eastAsia="仿宋"/>
          <w:b w:val="0"/>
          <w:bCs w:val="0"/>
          <w:color w:val="auto"/>
          <w:highlight w:val="none"/>
        </w:rPr>
      </w:pPr>
      <w:bookmarkStart w:id="96" w:name="_Toc15396623"/>
      <w:bookmarkStart w:id="97" w:name="_Toc9450"/>
      <w:r>
        <w:rPr>
          <w:rStyle w:val="3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5"/>
          <w:rFonts w:hint="eastAsia" w:ascii="仿宋" w:hAnsi="仿宋" w:eastAsia="仿宋"/>
          <w:b w:val="0"/>
          <w:bCs w:val="0"/>
          <w:color w:val="auto"/>
          <w:highlight w:val="none"/>
        </w:rPr>
        <w:t>政拨款支出决算明细表</w:t>
      </w:r>
      <w:bookmarkEnd w:id="96"/>
      <w:bookmarkEnd w:id="97"/>
      <w:bookmarkStart w:id="98" w:name="_Toc15396624"/>
    </w:p>
    <w:p>
      <w:pPr>
        <w:pStyle w:val="4"/>
        <w:rPr>
          <w:rFonts w:ascii="仿宋" w:hAnsi="仿宋" w:eastAsia="仿宋"/>
          <w:color w:val="auto"/>
          <w:highlight w:val="none"/>
        </w:rPr>
      </w:pPr>
      <w:bookmarkStart w:id="99" w:name="_Toc26985"/>
      <w:r>
        <w:rPr>
          <w:rStyle w:val="3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5"/>
          <w:rFonts w:hint="eastAsia" w:ascii="仿宋" w:hAnsi="仿宋" w:eastAsia="仿宋"/>
          <w:b w:val="0"/>
          <w:bCs w:val="0"/>
          <w:color w:val="auto"/>
          <w:highlight w:val="none"/>
        </w:rPr>
        <w:t>般公共预算财政拨款支出决算表</w:t>
      </w:r>
      <w:bookmarkEnd w:id="98"/>
      <w:bookmarkEnd w:id="99"/>
    </w:p>
    <w:p>
      <w:pPr>
        <w:pStyle w:val="4"/>
        <w:rPr>
          <w:rFonts w:ascii="仿宋" w:hAnsi="仿宋" w:eastAsia="仿宋"/>
          <w:color w:val="auto"/>
          <w:highlight w:val="none"/>
        </w:rPr>
      </w:pPr>
      <w:bookmarkStart w:id="100" w:name="_Toc15172"/>
      <w:bookmarkStart w:id="101" w:name="_Toc15396625"/>
      <w:r>
        <w:rPr>
          <w:rStyle w:val="3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5"/>
          <w:rFonts w:hint="eastAsia" w:ascii="仿宋" w:hAnsi="仿宋" w:eastAsia="仿宋"/>
          <w:b w:val="0"/>
          <w:bCs w:val="0"/>
          <w:color w:val="auto"/>
          <w:highlight w:val="none"/>
        </w:rPr>
        <w:t>般公共预算财政拨款支出决算明细表</w:t>
      </w:r>
      <w:bookmarkEnd w:id="100"/>
      <w:bookmarkEnd w:id="101"/>
    </w:p>
    <w:p>
      <w:pPr>
        <w:pStyle w:val="4"/>
        <w:rPr>
          <w:rFonts w:ascii="仿宋" w:hAnsi="仿宋" w:eastAsia="仿宋"/>
          <w:color w:val="auto"/>
          <w:highlight w:val="none"/>
        </w:rPr>
      </w:pPr>
      <w:bookmarkStart w:id="102" w:name="_Toc15396626"/>
      <w:bookmarkStart w:id="103" w:name="_Toc3616"/>
      <w:r>
        <w:rPr>
          <w:rStyle w:val="3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5"/>
          <w:rFonts w:hint="eastAsia" w:ascii="仿宋" w:hAnsi="仿宋" w:eastAsia="仿宋"/>
          <w:b w:val="0"/>
          <w:bCs w:val="0"/>
          <w:color w:val="auto"/>
          <w:highlight w:val="none"/>
        </w:rPr>
        <w:t>般公共预算财政拨款基本支出决算表</w:t>
      </w:r>
      <w:bookmarkEnd w:id="102"/>
      <w:bookmarkEnd w:id="103"/>
    </w:p>
    <w:p>
      <w:pPr>
        <w:pStyle w:val="4"/>
        <w:rPr>
          <w:rFonts w:ascii="仿宋" w:hAnsi="仿宋" w:eastAsia="仿宋"/>
          <w:color w:val="auto"/>
          <w:highlight w:val="none"/>
        </w:rPr>
      </w:pPr>
      <w:bookmarkStart w:id="104" w:name="_Toc15396627"/>
      <w:bookmarkStart w:id="105" w:name="_Toc2297"/>
      <w:r>
        <w:rPr>
          <w:rStyle w:val="3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5"/>
          <w:rFonts w:hint="eastAsia" w:ascii="仿宋" w:hAnsi="仿宋" w:eastAsia="仿宋"/>
          <w:b w:val="0"/>
          <w:bCs w:val="0"/>
          <w:color w:val="auto"/>
          <w:highlight w:val="none"/>
        </w:rPr>
        <w:t>般公共预算财政拨款项目支出决算表</w:t>
      </w:r>
      <w:bookmarkEnd w:id="104"/>
      <w:bookmarkEnd w:id="105"/>
    </w:p>
    <w:p>
      <w:pPr>
        <w:pStyle w:val="4"/>
        <w:rPr>
          <w:rFonts w:ascii="仿宋" w:hAnsi="仿宋" w:eastAsia="仿宋"/>
          <w:color w:val="auto"/>
          <w:highlight w:val="none"/>
        </w:rPr>
      </w:pPr>
      <w:bookmarkStart w:id="106" w:name="_Toc15396628"/>
      <w:bookmarkStart w:id="107" w:name="_Toc6164"/>
      <w:r>
        <w:rPr>
          <w:rStyle w:val="35"/>
          <w:rFonts w:hint="eastAsia" w:ascii="仿宋" w:hAnsi="仿宋" w:eastAsia="仿宋"/>
          <w:b w:val="0"/>
          <w:bCs w:val="0"/>
          <w:color w:val="auto"/>
          <w:highlight w:val="none"/>
        </w:rPr>
        <w:t>十、</w:t>
      </w:r>
      <w:bookmarkEnd w:id="106"/>
      <w:r>
        <w:rPr>
          <w:rFonts w:hint="eastAsia" w:ascii="仿宋" w:hAnsi="仿宋" w:eastAsia="仿宋"/>
          <w:b w:val="0"/>
          <w:color w:val="auto"/>
          <w:highlight w:val="none"/>
        </w:rPr>
        <w:t>政</w:t>
      </w:r>
      <w:r>
        <w:rPr>
          <w:rStyle w:val="35"/>
          <w:rFonts w:hint="eastAsia" w:ascii="仿宋" w:hAnsi="仿宋" w:eastAsia="仿宋"/>
          <w:b w:val="0"/>
          <w:bCs w:val="0"/>
          <w:color w:val="auto"/>
          <w:highlight w:val="none"/>
        </w:rPr>
        <w:t>府性基金预算财政拨款收入支出决算表</w:t>
      </w:r>
      <w:bookmarkEnd w:id="107"/>
    </w:p>
    <w:p>
      <w:pPr>
        <w:pStyle w:val="4"/>
        <w:rPr>
          <w:rFonts w:ascii="仿宋" w:hAnsi="仿宋" w:eastAsia="仿宋"/>
          <w:color w:val="auto"/>
          <w:highlight w:val="none"/>
        </w:rPr>
      </w:pPr>
      <w:bookmarkStart w:id="108" w:name="_Toc15396629"/>
      <w:bookmarkStart w:id="109" w:name="_Toc7679"/>
      <w:r>
        <w:rPr>
          <w:rStyle w:val="35"/>
          <w:rFonts w:hint="eastAsia" w:ascii="仿宋" w:hAnsi="仿宋" w:eastAsia="仿宋"/>
          <w:b w:val="0"/>
          <w:bCs w:val="0"/>
          <w:color w:val="auto"/>
          <w:highlight w:val="none"/>
        </w:rPr>
        <w:t>十一、</w:t>
      </w:r>
      <w:bookmarkEnd w:id="108"/>
      <w:r>
        <w:rPr>
          <w:rFonts w:hint="eastAsia" w:ascii="仿宋" w:hAnsi="仿宋" w:eastAsia="仿宋"/>
          <w:b w:val="0"/>
          <w:color w:val="auto"/>
          <w:highlight w:val="none"/>
        </w:rPr>
        <w:t>国</w:t>
      </w:r>
      <w:r>
        <w:rPr>
          <w:rStyle w:val="35"/>
          <w:rFonts w:hint="eastAsia" w:ascii="仿宋" w:hAnsi="仿宋" w:eastAsia="仿宋"/>
          <w:b w:val="0"/>
          <w:bCs w:val="0"/>
          <w:color w:val="auto"/>
          <w:highlight w:val="none"/>
        </w:rPr>
        <w:t>有资本经营预算</w:t>
      </w:r>
      <w:r>
        <w:rPr>
          <w:rStyle w:val="35"/>
          <w:rFonts w:hint="eastAsia" w:ascii="仿宋" w:hAnsi="仿宋" w:eastAsia="仿宋"/>
          <w:b w:val="0"/>
          <w:bCs w:val="0"/>
          <w:color w:val="auto"/>
          <w:highlight w:val="none"/>
          <w:lang w:eastAsia="zh-CN"/>
        </w:rPr>
        <w:t>财政拨款收入</w:t>
      </w:r>
      <w:r>
        <w:rPr>
          <w:rStyle w:val="35"/>
          <w:rFonts w:hint="eastAsia" w:ascii="仿宋" w:hAnsi="仿宋" w:eastAsia="仿宋"/>
          <w:b w:val="0"/>
          <w:bCs w:val="0"/>
          <w:color w:val="auto"/>
          <w:highlight w:val="none"/>
        </w:rPr>
        <w:t>支出决算表</w:t>
      </w:r>
      <w:bookmarkEnd w:id="109"/>
    </w:p>
    <w:p>
      <w:pPr>
        <w:pStyle w:val="4"/>
        <w:rPr>
          <w:rFonts w:ascii="仿宋" w:hAnsi="仿宋" w:eastAsia="仿宋"/>
          <w:color w:val="auto"/>
          <w:highlight w:val="none"/>
        </w:rPr>
      </w:pPr>
      <w:bookmarkStart w:id="110" w:name="_Toc15396630"/>
      <w:bookmarkStart w:id="111" w:name="_Toc7164"/>
      <w:r>
        <w:rPr>
          <w:rStyle w:val="35"/>
          <w:rFonts w:hint="eastAsia" w:ascii="仿宋" w:hAnsi="仿宋" w:eastAsia="仿宋"/>
          <w:b w:val="0"/>
          <w:bCs w:val="0"/>
          <w:color w:val="auto"/>
          <w:highlight w:val="none"/>
        </w:rPr>
        <w:t>十二、</w:t>
      </w:r>
      <w:bookmarkEnd w:id="110"/>
      <w:r>
        <w:rPr>
          <w:rStyle w:val="35"/>
          <w:rFonts w:hint="eastAsia" w:ascii="仿宋" w:hAnsi="仿宋" w:eastAsia="仿宋"/>
          <w:b w:val="0"/>
          <w:bCs w:val="0"/>
          <w:color w:val="auto"/>
          <w:highlight w:val="none"/>
          <w:lang w:eastAsia="zh-CN"/>
        </w:rPr>
        <w:t>国有资本经营预算财政拨款支出决算表</w:t>
      </w:r>
      <w:bookmarkEnd w:id="111"/>
    </w:p>
    <w:p>
      <w:pPr>
        <w:pStyle w:val="4"/>
        <w:rPr>
          <w:rFonts w:hint="eastAsia" w:eastAsia="仿宋"/>
          <w:color w:val="auto"/>
          <w:highlight w:val="none"/>
          <w:lang w:eastAsia="zh-CN"/>
        </w:rPr>
      </w:pPr>
      <w:bookmarkStart w:id="112" w:name="_Toc15396631"/>
      <w:bookmarkStart w:id="113" w:name="_Toc13948"/>
      <w:r>
        <w:rPr>
          <w:rStyle w:val="35"/>
          <w:rFonts w:hint="eastAsia" w:ascii="仿宋" w:hAnsi="仿宋" w:eastAsia="仿宋"/>
          <w:b w:val="0"/>
          <w:bCs w:val="0"/>
          <w:color w:val="auto"/>
          <w:highlight w:val="none"/>
        </w:rPr>
        <w:t>十三、</w:t>
      </w:r>
      <w:bookmarkEnd w:id="112"/>
      <w:r>
        <w:rPr>
          <w:rStyle w:val="35"/>
          <w:rFonts w:hint="eastAsia" w:ascii="仿宋" w:hAnsi="仿宋" w:eastAsia="仿宋"/>
          <w:b w:val="0"/>
          <w:bCs w:val="0"/>
          <w:color w:val="auto"/>
          <w:highlight w:val="none"/>
          <w:lang w:eastAsia="zh-CN"/>
        </w:rPr>
        <w:t>财政拨款“三公”经费支出决算表</w:t>
      </w:r>
      <w:bookmarkEnd w:id="11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0FFEC4-F27E-4F28-A65C-E2739499BA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embedRegular r:id="rId2" w:fontKey="{E12DCE7E-02EB-448E-868F-633C43ED333B}"/>
  </w:font>
  <w:font w:name="仿宋_GB2312">
    <w:panose1 w:val="02010609030101010101"/>
    <w:charset w:val="86"/>
    <w:family w:val="modern"/>
    <w:pitch w:val="default"/>
    <w:sig w:usb0="00000000" w:usb1="00000000" w:usb2="00000000" w:usb3="00000000" w:csb0="00000000" w:csb1="00000000"/>
    <w:embedRegular r:id="rId3" w:fontKey="{E0B4BC48-CA89-4883-92E2-05A66F52FA6A}"/>
  </w:font>
  <w:font w:name="仿宋">
    <w:panose1 w:val="02010609060101010101"/>
    <w:charset w:val="86"/>
    <w:family w:val="modern"/>
    <w:pitch w:val="default"/>
    <w:sig w:usb0="800002BF" w:usb1="38CF7CFA" w:usb2="00000016" w:usb3="00000000" w:csb0="00040001" w:csb1="00000000"/>
    <w:embedRegular r:id="rId4" w:fontKey="{334C89FA-66F8-4AAC-AA06-7C6B7AE68C62}"/>
  </w:font>
  <w:font w:name="Consolas">
    <w:panose1 w:val="020B0609020204030204"/>
    <w:charset w:val="00"/>
    <w:family w:val="auto"/>
    <w:pitch w:val="default"/>
    <w:sig w:usb0="E10002FF" w:usb1="4000FCFF" w:usb2="00000009" w:usb3="00000000" w:csb0="6000019F" w:csb1="DFD7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0" w:usb1="00000000" w:usb2="00000000" w:usb3="00000000" w:csb0="00000000" w:csb1="00000000"/>
    <w:embedRegular r:id="rId5" w:fontKey="{C3FC2C4F-E242-4F3E-822C-86FC94DA3DED}"/>
  </w:font>
  <w:font w:name="方正仿宋_GBK">
    <w:panose1 w:val="03000509000000000000"/>
    <w:charset w:val="86"/>
    <w:family w:val="script"/>
    <w:pitch w:val="default"/>
    <w:sig w:usb0="00000000" w:usb1="00000000" w:usb2="00000000" w:usb3="00000000" w:csb0="00000000" w:csb1="00000000"/>
    <w:embedRegular r:id="rId6" w:fontKey="{C7832792-36C3-430C-A83D-3CFB1BF21E9D}"/>
  </w:font>
  <w:font w:name="方正小标宋_GBK">
    <w:panose1 w:val="03000509000000000000"/>
    <w:charset w:val="86"/>
    <w:family w:val="auto"/>
    <w:pitch w:val="default"/>
    <w:sig w:usb0="00000000" w:usb1="00000000" w:usb2="00000000" w:usb3="00000000" w:csb0="00000000" w:csb1="00000000"/>
    <w:embedRegular r:id="rId7" w:fontKey="{DB0E5AF6-4990-48C3-812D-B2F509C0AB4F}"/>
  </w:font>
  <w:font w:name="方正楷体_GBK">
    <w:panose1 w:val="03000509000000000000"/>
    <w:charset w:val="86"/>
    <w:family w:val="auto"/>
    <w:pitch w:val="default"/>
    <w:sig w:usb0="00000000" w:usb1="00000000" w:usb2="00000000" w:usb3="00000000" w:csb0="00000000" w:csb1="00000000"/>
    <w:embedRegular r:id="rId8" w:fontKey="{D6A39FE8-C998-4129-B83E-A1DE8217CAAF}"/>
  </w:font>
  <w:font w:name="楷体_GB2312">
    <w:panose1 w:val="02010609030101010101"/>
    <w:charset w:val="86"/>
    <w:family w:val="auto"/>
    <w:pitch w:val="default"/>
    <w:sig w:usb0="00000000" w:usb1="00000000" w:usb2="00000000" w:usb3="00000000" w:csb0="00000000" w:csb1="00000000"/>
    <w:embedRegular r:id="rId9" w:fontKey="{97566BF6-BFF6-4E2E-AB91-B1A490B9DFD4}"/>
  </w:font>
  <w:font w:name="微软雅黑">
    <w:panose1 w:val="020B0503020204020204"/>
    <w:charset w:val="86"/>
    <w:family w:val="auto"/>
    <w:pitch w:val="default"/>
    <w:sig w:usb0="80000287" w:usb1="280F3C52" w:usb2="00000016" w:usb3="00000000" w:csb0="0004001F" w:csb1="00000000"/>
    <w:embedRegular r:id="rId10" w:fontKey="{249E812E-7D4D-4887-BD1D-AE3EE1AD7A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2FBB1"/>
    <w:multiLevelType w:val="singleLevel"/>
    <w:tmpl w:val="8172FBB1"/>
    <w:lvl w:ilvl="0" w:tentative="0">
      <w:start w:val="3"/>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0B3D68F5"/>
    <w:multiLevelType w:val="singleLevel"/>
    <w:tmpl w:val="0B3D68F5"/>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A3C7F56"/>
    <w:multiLevelType w:val="singleLevel"/>
    <w:tmpl w:val="6A3C7F56"/>
    <w:lvl w:ilvl="0" w:tentative="0">
      <w:start w:val="3"/>
      <w:numFmt w:val="chineseCounting"/>
      <w:suff w:val="nothing"/>
      <w:lvlText w:val="（%1）"/>
      <w:lvlJc w:val="left"/>
      <w:rPr>
        <w:rFonts w:hint="eastAsia"/>
      </w:r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mZhY2UxMjJkOWZlMTAyZjI1OWJmMmZkMjc3ODgifQ=="/>
    <w:docVar w:name="KSO_WPS_MARK_KEY" w:val="25470cb1-59cb-4f6f-b0f6-aa3ead677e09"/>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E3B41"/>
    <w:rsid w:val="015975B8"/>
    <w:rsid w:val="02143E91"/>
    <w:rsid w:val="066E0107"/>
    <w:rsid w:val="07247039"/>
    <w:rsid w:val="07996F6E"/>
    <w:rsid w:val="090515DA"/>
    <w:rsid w:val="0A2032A3"/>
    <w:rsid w:val="0DF2282E"/>
    <w:rsid w:val="0F98263C"/>
    <w:rsid w:val="101860EC"/>
    <w:rsid w:val="10C055FF"/>
    <w:rsid w:val="118107EC"/>
    <w:rsid w:val="12400C58"/>
    <w:rsid w:val="13D50BC4"/>
    <w:rsid w:val="14823BFF"/>
    <w:rsid w:val="16BB723D"/>
    <w:rsid w:val="1BE8440E"/>
    <w:rsid w:val="1C2F4C4D"/>
    <w:rsid w:val="1D155CEE"/>
    <w:rsid w:val="1FF35744"/>
    <w:rsid w:val="21250823"/>
    <w:rsid w:val="23860B96"/>
    <w:rsid w:val="240371BF"/>
    <w:rsid w:val="25F0369F"/>
    <w:rsid w:val="26D639E7"/>
    <w:rsid w:val="27B477F4"/>
    <w:rsid w:val="29FD04D3"/>
    <w:rsid w:val="2A261B9A"/>
    <w:rsid w:val="2C8A61B5"/>
    <w:rsid w:val="2DF04E50"/>
    <w:rsid w:val="2E2471BB"/>
    <w:rsid w:val="2F040D46"/>
    <w:rsid w:val="319F7F4E"/>
    <w:rsid w:val="3304709D"/>
    <w:rsid w:val="354968E9"/>
    <w:rsid w:val="36AA5135"/>
    <w:rsid w:val="376D39B2"/>
    <w:rsid w:val="37E16F03"/>
    <w:rsid w:val="38D469F0"/>
    <w:rsid w:val="3D98207C"/>
    <w:rsid w:val="3E4845A3"/>
    <w:rsid w:val="3E78745D"/>
    <w:rsid w:val="44E268DA"/>
    <w:rsid w:val="496E0BEE"/>
    <w:rsid w:val="4A627F82"/>
    <w:rsid w:val="4A810BE7"/>
    <w:rsid w:val="4B0E749A"/>
    <w:rsid w:val="4B4F25DA"/>
    <w:rsid w:val="4BE068DB"/>
    <w:rsid w:val="4D577224"/>
    <w:rsid w:val="4D9D560B"/>
    <w:rsid w:val="4EAB630A"/>
    <w:rsid w:val="4ECE2238"/>
    <w:rsid w:val="51EE6435"/>
    <w:rsid w:val="537E6D0A"/>
    <w:rsid w:val="554F3DB5"/>
    <w:rsid w:val="57390153"/>
    <w:rsid w:val="57B819BF"/>
    <w:rsid w:val="57EF03EF"/>
    <w:rsid w:val="59633BAD"/>
    <w:rsid w:val="5AF92295"/>
    <w:rsid w:val="5BC00E43"/>
    <w:rsid w:val="5CD71FC4"/>
    <w:rsid w:val="681A18A1"/>
    <w:rsid w:val="69B905A4"/>
    <w:rsid w:val="6C4A05C8"/>
    <w:rsid w:val="6E7E3605"/>
    <w:rsid w:val="6EC922AC"/>
    <w:rsid w:val="6FF5CC65"/>
    <w:rsid w:val="71297032"/>
    <w:rsid w:val="715C0E4B"/>
    <w:rsid w:val="72734D90"/>
    <w:rsid w:val="72AB41A3"/>
    <w:rsid w:val="73AD73D5"/>
    <w:rsid w:val="73B6EB34"/>
    <w:rsid w:val="744731E5"/>
    <w:rsid w:val="76E3355F"/>
    <w:rsid w:val="778769C8"/>
    <w:rsid w:val="79EE5BA4"/>
    <w:rsid w:val="7A894339"/>
    <w:rsid w:val="7B157061"/>
    <w:rsid w:val="7EEF11D3"/>
    <w:rsid w:val="7FA30C79"/>
    <w:rsid w:val="7FB30DB0"/>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29"/>
    <w:qFormat/>
    <w:uiPriority w:val="99"/>
    <w:pPr>
      <w:tabs>
        <w:tab w:val="center" w:pos="4153"/>
        <w:tab w:val="right" w:pos="8306"/>
      </w:tabs>
      <w:snapToGrid w:val="0"/>
      <w:jc w:val="left"/>
    </w:pPr>
    <w:rPr>
      <w:rFonts w:ascii="Calibri" w:hAnsi="Calibri"/>
      <w:kern w:val="0"/>
      <w:sz w:val="18"/>
      <w:szCs w:val="18"/>
    </w:rPr>
  </w:style>
  <w:style w:type="paragraph" w:styleId="6">
    <w:name w:val="Normal Indent"/>
    <w:basedOn w:val="1"/>
    <w:qFormat/>
    <w:uiPriority w:val="0"/>
    <w:pPr>
      <w:ind w:firstLine="420" w:firstLineChars="200"/>
    </w:pPr>
  </w:style>
  <w:style w:type="paragraph" w:styleId="7">
    <w:name w:val="Body Text"/>
    <w:basedOn w:val="1"/>
    <w:link w:val="31"/>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7"/>
    <w:semiHidden/>
    <w:unhideWhenUsed/>
    <w:qFormat/>
    <w:uiPriority w:val="99"/>
    <w:rPr>
      <w:sz w:val="18"/>
      <w:szCs w:val="18"/>
    </w:rPr>
  </w:style>
  <w:style w:type="paragraph" w:styleId="11">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99"/>
    <w:rPr>
      <w:b/>
      <w:bCs/>
    </w:rPr>
  </w:style>
  <w:style w:type="character" w:styleId="19">
    <w:name w:val="FollowedHyperlink"/>
    <w:basedOn w:val="17"/>
    <w:semiHidden/>
    <w:unhideWhenUsed/>
    <w:qFormat/>
    <w:uiPriority w:val="99"/>
    <w:rPr>
      <w:color w:val="333333"/>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ascii="Consolas" w:hAnsi="Consolas" w:eastAsia="Consolas" w:cs="Consolas"/>
      <w:color w:val="C7254E"/>
      <w:sz w:val="21"/>
      <w:szCs w:val="21"/>
      <w:shd w:val="clear" w:fill="F9F2F4"/>
    </w:rPr>
  </w:style>
  <w:style w:type="character" w:styleId="23">
    <w:name w:val="HTML Keyboard"/>
    <w:basedOn w:val="17"/>
    <w:semiHidden/>
    <w:unhideWhenUsed/>
    <w:qFormat/>
    <w:uiPriority w:val="99"/>
    <w:rPr>
      <w:rFonts w:hint="default" w:ascii="Consolas" w:hAnsi="Consolas" w:eastAsia="Consolas" w:cs="Consolas"/>
      <w:color w:val="FFFFFF"/>
      <w:sz w:val="21"/>
      <w:szCs w:val="21"/>
      <w:shd w:val="clear" w:fill="333333"/>
    </w:rPr>
  </w:style>
  <w:style w:type="character" w:styleId="24">
    <w:name w:val="HTML Sample"/>
    <w:basedOn w:val="17"/>
    <w:semiHidden/>
    <w:unhideWhenUsed/>
    <w:qFormat/>
    <w:uiPriority w:val="99"/>
    <w:rPr>
      <w:rFonts w:hint="default" w:ascii="Consolas" w:hAnsi="Consolas" w:eastAsia="Consolas" w:cs="Consolas"/>
      <w:sz w:val="21"/>
      <w:szCs w:val="21"/>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17"/>
    <w:semiHidden/>
    <w:qFormat/>
    <w:uiPriority w:val="99"/>
    <w:rPr>
      <w:rFonts w:ascii="Times New Roman" w:hAnsi="Times New Roman"/>
      <w:sz w:val="18"/>
      <w:szCs w:val="18"/>
    </w:rPr>
  </w:style>
  <w:style w:type="character" w:customStyle="1" w:styleId="27">
    <w:name w:val="页眉 Char"/>
    <w:link w:val="11"/>
    <w:semiHidden/>
    <w:qFormat/>
    <w:locked/>
    <w:uiPriority w:val="99"/>
    <w:rPr>
      <w:sz w:val="18"/>
    </w:rPr>
  </w:style>
  <w:style w:type="character" w:customStyle="1" w:styleId="28">
    <w:name w:val="Footer Char"/>
    <w:basedOn w:val="17"/>
    <w:semiHidden/>
    <w:qFormat/>
    <w:uiPriority w:val="99"/>
    <w:rPr>
      <w:rFonts w:ascii="Times New Roman" w:hAnsi="Times New Roman"/>
      <w:sz w:val="18"/>
      <w:szCs w:val="18"/>
    </w:rPr>
  </w:style>
  <w:style w:type="character" w:customStyle="1" w:styleId="29">
    <w:name w:val="页脚 Char"/>
    <w:link w:val="2"/>
    <w:qFormat/>
    <w:locked/>
    <w:uiPriority w:val="99"/>
    <w:rPr>
      <w:sz w:val="18"/>
    </w:rPr>
  </w:style>
  <w:style w:type="character" w:customStyle="1" w:styleId="30">
    <w:name w:val="Body Text Char"/>
    <w:basedOn w:val="17"/>
    <w:semiHidden/>
    <w:qFormat/>
    <w:uiPriority w:val="99"/>
    <w:rPr>
      <w:rFonts w:ascii="Times New Roman" w:hAnsi="Times New Roman"/>
      <w:szCs w:val="24"/>
    </w:rPr>
  </w:style>
  <w:style w:type="character" w:customStyle="1" w:styleId="31">
    <w:name w:val="正文文本 Char"/>
    <w:link w:val="7"/>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17"/>
    <w:link w:val="3"/>
    <w:qFormat/>
    <w:uiPriority w:val="9"/>
    <w:rPr>
      <w:rFonts w:ascii="Times New Roman" w:hAnsi="Times New Roman"/>
      <w:b/>
      <w:bCs/>
      <w:kern w:val="44"/>
      <w:sz w:val="44"/>
      <w:szCs w:val="44"/>
    </w:rPr>
  </w:style>
  <w:style w:type="character" w:customStyle="1" w:styleId="35">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17"/>
    <w:link w:val="10"/>
    <w:semiHidden/>
    <w:qFormat/>
    <w:uiPriority w:val="99"/>
    <w:rPr>
      <w:rFonts w:ascii="Times New Roman" w:hAnsi="Times New Roman"/>
      <w:kern w:val="2"/>
      <w:sz w:val="18"/>
      <w:szCs w:val="18"/>
    </w:rPr>
  </w:style>
  <w:style w:type="character" w:customStyle="1" w:styleId="38">
    <w:name w:val="标题 3 Char"/>
    <w:basedOn w:val="17"/>
    <w:link w:val="5"/>
    <w:qFormat/>
    <w:uiPriority w:val="9"/>
    <w:rPr>
      <w:rFonts w:ascii="Times New Roman" w:hAnsi="Times New Roman"/>
      <w:b/>
      <w:bCs/>
      <w:kern w:val="2"/>
      <w:sz w:val="32"/>
      <w:szCs w:val="32"/>
    </w:r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1">
    <w:name w:val="hover5"/>
    <w:basedOn w:val="17"/>
    <w:qFormat/>
    <w:uiPriority w:val="0"/>
    <w:rPr>
      <w:color w:val="355E92"/>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image" Target="media/image1.jpe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1571.17</c:v>
                </c:pt>
                <c:pt idx="1">
                  <c:v>1520.73</c:v>
                </c:pt>
              </c:numCache>
            </c:numRef>
          </c:val>
        </c:ser>
        <c:dLbls>
          <c:showLegendKey val="0"/>
          <c:showVal val="0"/>
          <c:showCatName val="0"/>
          <c:showSerName val="0"/>
          <c:showPercent val="0"/>
          <c:showBubbleSize val="0"/>
        </c:dLbls>
        <c:gapWidth val="219"/>
        <c:overlap val="-27"/>
        <c:axId val="379481303"/>
        <c:axId val="128093727"/>
      </c:barChart>
      <c:catAx>
        <c:axId val="3794813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093727"/>
        <c:crosses val="autoZero"/>
        <c:auto val="1"/>
        <c:lblAlgn val="ctr"/>
        <c:lblOffset val="100"/>
        <c:noMultiLvlLbl val="0"/>
      </c:catAx>
      <c:valAx>
        <c:axId val="128093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48130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normalizeH="0" baseline="0">
                <a:solidFill>
                  <a:schemeClr val="dk1">
                    <a:lumMod val="50000"/>
                    <a:lumOff val="50000"/>
                  </a:schemeClr>
                </a:solidFill>
                <a:latin typeface="+mj-lt"/>
                <a:ea typeface="+mj-ea"/>
                <a:cs typeface="+mj-cs"/>
              </a:defRPr>
            </a:pPr>
            <a:r>
              <a:rPr sz="1400" b="1"/>
              <a:t>支出决算结构图</a:t>
            </a:r>
            <a:endParaRPr sz="1400" b="1"/>
          </a:p>
        </c:rich>
      </c:tx>
      <c:layout/>
      <c:overlay val="0"/>
      <c:spPr>
        <a:noFill/>
        <a:ln>
          <a:noFill/>
        </a:ln>
        <a:effectLst/>
      </c:spPr>
    </c:title>
    <c:autoTitleDeleted val="0"/>
    <c:plotArea>
      <c:layout>
        <c:manualLayout>
          <c:layoutTarget val="inner"/>
          <c:xMode val="edge"/>
          <c:yMode val="edge"/>
          <c:x val="0.300459674049311"/>
          <c:y val="0.25974025974026"/>
          <c:w val="0.408552723220504"/>
          <c:h val="0.692561983471074"/>
        </c:manualLayout>
      </c:layout>
      <c:pieChart>
        <c:varyColors val="1"/>
        <c:ser>
          <c:idx val="0"/>
          <c:order val="0"/>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213.8</c:v>
                </c:pt>
                <c:pt idx="1">
                  <c:v>1306.93</c:v>
                </c:pt>
                <c:pt idx="2">
                  <c:v>0</c:v>
                </c:pt>
                <c:pt idx="3">
                  <c:v>0</c:v>
                </c:pt>
                <c:pt idx="4">
                  <c:v>0</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财政拨款收、支决算总计</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1571.17</c:v>
                </c:pt>
                <c:pt idx="1">
                  <c:v>1520.73</c:v>
                </c:pt>
              </c:numCache>
            </c:numRef>
          </c:val>
        </c:ser>
        <c:dLbls>
          <c:showLegendKey val="0"/>
          <c:showVal val="0"/>
          <c:showCatName val="0"/>
          <c:showSerName val="0"/>
          <c:showPercent val="0"/>
          <c:showBubbleSize val="0"/>
        </c:dLbls>
        <c:gapWidth val="219"/>
        <c:overlap val="-27"/>
        <c:axId val="379481303"/>
        <c:axId val="128093727"/>
      </c:barChart>
      <c:catAx>
        <c:axId val="3794813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093727"/>
        <c:crosses val="autoZero"/>
        <c:auto val="1"/>
        <c:lblAlgn val="ctr"/>
        <c:lblOffset val="100"/>
        <c:noMultiLvlLbl val="0"/>
      </c:catAx>
      <c:valAx>
        <c:axId val="128093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48130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一般公共预算财政拨款支出</a:t>
            </a:r>
          </a:p>
        </c:rich>
      </c:tx>
      <c:layout/>
      <c:overlay val="0"/>
      <c:spPr>
        <a:noFill/>
        <a:ln>
          <a:noFill/>
        </a:ln>
        <a:effectLst/>
      </c:spPr>
    </c:title>
    <c:autoTitleDeleted val="0"/>
    <c:plotArea>
      <c:layout>
        <c:manualLayout>
          <c:layoutTarget val="inner"/>
          <c:xMode val="edge"/>
          <c:yMode val="edge"/>
          <c:x val="0.071825"/>
          <c:y val="0.170684039087948"/>
          <c:w val="0.77505"/>
          <c:h val="0.63114006514658"/>
        </c:manualLayout>
      </c:layout>
      <c:barChart>
        <c:barDir val="col"/>
        <c:grouping val="clustered"/>
        <c:varyColors val="0"/>
        <c:ser>
          <c:idx val="0"/>
          <c:order val="0"/>
          <c:tx>
            <c:strRef>
              <c:f>Sheet1!$B$1</c:f>
              <c:strCache>
                <c:ptCount val="1"/>
                <c:pt idx="0">
                  <c:v>支出</c:v>
                </c:pt>
              </c:strCache>
            </c:strRef>
          </c:tx>
          <c:spPr>
            <a:solidFill>
              <a:srgbClr val="4F81BD"/>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1571.17</c:v>
                </c:pt>
                <c:pt idx="1">
                  <c:v>1520.73</c:v>
                </c:pt>
              </c:numCache>
            </c:numRef>
          </c:val>
        </c:ser>
        <c:dLbls>
          <c:showLegendKey val="0"/>
          <c:showVal val="0"/>
          <c:showCatName val="0"/>
          <c:showSerName val="0"/>
          <c:showPercent val="0"/>
          <c:showBubbleSize val="0"/>
        </c:dLbls>
        <c:gapWidth val="219"/>
        <c:overlap val="-27"/>
        <c:axId val="317551368"/>
        <c:axId val="627686651"/>
      </c:barChart>
      <c:catAx>
        <c:axId val="31755136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t>万元</a:t>
                </a:r>
              </a:p>
            </c:rich>
          </c:tx>
          <c:layout>
            <c:manualLayout>
              <c:xMode val="edge"/>
              <c:yMode val="edge"/>
              <c:x val="0.02235"/>
              <c:y val="0.061270851031369"/>
            </c:manualLayout>
          </c:layout>
          <c:overlay val="0"/>
          <c:spPr>
            <a:noFill/>
            <a:ln>
              <a:noFill/>
            </a:ln>
            <a:effectLst/>
          </c:spPr>
        </c:title>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627686651"/>
        <c:crosses val="autoZero"/>
        <c:auto val="1"/>
        <c:lblAlgn val="ctr"/>
        <c:lblOffset val="100"/>
        <c:noMultiLvlLbl val="0"/>
      </c:catAx>
      <c:valAx>
        <c:axId val="627686651"/>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175513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3"/>
              <c:layout>
                <c:manualLayout>
                  <c:x val="-0.112904943198981"/>
                  <c:y val="0.01102235861186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卫生健康支出</c:v>
                </c:pt>
                <c:pt idx="1">
                  <c:v>社会保障和就业支出</c:v>
                </c:pt>
                <c:pt idx="2">
                  <c:v>农林水支出</c:v>
                </c:pt>
                <c:pt idx="3">
                  <c:v>住房保障支出</c:v>
                </c:pt>
              </c:strCache>
            </c:strRef>
          </c:cat>
          <c:val>
            <c:numRef>
              <c:f>Sheet1!$B$2:$B$5</c:f>
              <c:numCache>
                <c:formatCode>0.00%</c:formatCode>
                <c:ptCount val="4"/>
                <c:pt idx="0">
                  <c:v>0.0072</c:v>
                </c:pt>
                <c:pt idx="1">
                  <c:v>0.9611</c:v>
                </c:pt>
                <c:pt idx="2">
                  <c:v>0.0267</c:v>
                </c:pt>
                <c:pt idx="3">
                  <c:v>0.005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三公经费财政拨款支出决算</a:t>
            </a:r>
            <a:r>
              <a:rPr lang="en-US" altLang="zh-CN"/>
              <a:t>”</a:t>
            </a:r>
            <a:endParaRPr lang="en-US" altLang="zh-CN"/>
          </a:p>
        </c:rich>
      </c:tx>
      <c:layout>
        <c:manualLayout>
          <c:xMode val="edge"/>
          <c:yMode val="edge"/>
          <c:x val="0.26425"/>
          <c:y val="0.0125"/>
        </c:manualLayout>
      </c:layout>
      <c:overlay val="0"/>
      <c:spPr>
        <a:noFill/>
        <a:ln>
          <a:noFill/>
        </a:ln>
        <a:effectLst/>
      </c:sp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公务用车维护费</c:v>
                </c:pt>
                <c:pt idx="1">
                  <c:v>公务出境</c:v>
                </c:pt>
                <c:pt idx="2">
                  <c:v>公务接待费</c:v>
                </c:pt>
              </c:strCache>
            </c:strRef>
          </c:cat>
          <c:val>
            <c:numRef>
              <c:f>Sheet1!$B$2:$B$5</c:f>
              <c:numCache>
                <c:formatCode>General</c:formatCode>
                <c:ptCount val="4"/>
                <c:pt idx="2">
                  <c:v>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10221</Words>
  <Characters>11235</Characters>
  <Lines>61</Lines>
  <Paragraphs>17</Paragraphs>
  <TotalTime>312</TotalTime>
  <ScaleCrop>false</ScaleCrop>
  <LinksUpToDate>false</LinksUpToDate>
  <CharactersWithSpaces>11334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Lan</cp:lastModifiedBy>
  <cp:lastPrinted>2023-10-18T02:10:00Z</cp:lastPrinted>
  <dcterms:modified xsi:type="dcterms:W3CDTF">2024-10-25T08:01:36Z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620C836AE1AE4419BD8DC61DB713E506</vt:lpwstr>
  </property>
</Properties>
</file>