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eastAsia="zh-CN"/>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firstLine="1440" w:firstLineChars="200"/>
        <w:jc w:val="both"/>
        <w:rPr>
          <w:rFonts w:hint="eastAsia" w:ascii="Times New Roman" w:hAnsi="Times New Roman" w:eastAsia="方正小标宋_GBK" w:cs="Times New Roman"/>
          <w:sz w:val="72"/>
          <w:szCs w:val="72"/>
          <w:highlight w:val="none"/>
          <w:lang w:eastAsia="zh-CN"/>
        </w:rPr>
      </w:pPr>
      <w:r>
        <w:rPr>
          <w:rFonts w:hint="eastAsia" w:ascii="Times New Roman" w:hAnsi="Times New Roman" w:eastAsia="方正小标宋_GBK" w:cs="Times New Roman"/>
          <w:sz w:val="72"/>
          <w:szCs w:val="72"/>
          <w:highlight w:val="none"/>
          <w:lang w:eastAsia="zh-CN"/>
        </w:rPr>
        <w:t>广安区疾控中心</w:t>
      </w:r>
    </w:p>
    <w:p>
      <w:pPr>
        <w:spacing w:line="800" w:lineRule="exact"/>
        <w:ind w:firstLine="1440" w:firstLineChars="2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广安区疾控中心</w:t>
      </w:r>
      <w:r>
        <w:rPr>
          <w:rFonts w:hint="default" w:ascii="Times New Roman" w:hAnsi="Times New Roman" w:eastAsia="黑体" w:cs="Times New Roman"/>
          <w:kern w:val="0"/>
          <w:sz w:val="32"/>
          <w:szCs w:val="32"/>
          <w:highlight w:val="none"/>
          <w:lang w:val="en-US" w:eastAsia="zh-CN" w:bidi="ar"/>
        </w:rPr>
        <w:t>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广安区疾控中心</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广安区疾控中心</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9"/>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广安区疾控中心概况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eastAsia="zh-CN"/>
        </w:rPr>
        <w:t>广安区疾控中心</w:t>
      </w:r>
      <w:r>
        <w:rPr>
          <w:rFonts w:hint="default" w:ascii="Times New Roman" w:hAnsi="Times New Roman" w:eastAsia="楷体_GB2312" w:cs="Times New Roman"/>
          <w:b/>
          <w:sz w:val="32"/>
          <w:szCs w:val="32"/>
          <w:highlight w:val="none"/>
        </w:rPr>
        <w:t>职能简介。</w:t>
      </w:r>
    </w:p>
    <w:p>
      <w:pPr>
        <w:spacing w:line="59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color w:val="000000"/>
          <w:sz w:val="32"/>
          <w:szCs w:val="32"/>
          <w:lang w:val="en-US" w:eastAsia="zh-CN"/>
        </w:rPr>
        <w:t>疾控中心是从事基本公共卫生服务的公益一类事业单位，其主要职责为：（一）传染病、寄生虫病、地方病、非传染性疾病等预防与控制；（二）突发公共卫生事件和灾害疫情应急处置；（三）疫情及健康相关因素信息管理，开展疾病监测，收集、报告、分析和评价与健康危害因素等公共卫生信息；（四）健康危害因素监测与干预，开展食源性、职业性、放射性、环境性等疾病的监测评价和流行病学调查，开展公众健康和营养状况监测与评价，提倡干预策略与措施；（五）疾病病原生物检测、鉴定和物理、化学因子</w:t>
      </w:r>
      <w:bookmarkStart w:id="0" w:name="_GoBack"/>
      <w:r>
        <w:rPr>
          <w:rFonts w:hint="eastAsia" w:ascii="仿宋_GB2312" w:hAnsi="仿宋_GB2312" w:eastAsia="仿宋_GB2312" w:cs="仿宋_GB2312"/>
          <w:color w:val="000000"/>
          <w:sz w:val="32"/>
          <w:szCs w:val="32"/>
          <w:lang w:val="en-US" w:eastAsia="zh-CN"/>
        </w:rPr>
        <w:t>检测</w:t>
      </w:r>
      <w:bookmarkEnd w:id="0"/>
      <w:r>
        <w:rPr>
          <w:rFonts w:hint="eastAsia" w:ascii="仿宋_GB2312" w:hAnsi="仿宋_GB2312" w:eastAsia="仿宋_GB2312" w:cs="仿宋_GB2312"/>
          <w:color w:val="000000"/>
          <w:sz w:val="32"/>
          <w:szCs w:val="32"/>
          <w:lang w:val="en-US" w:eastAsia="zh-CN"/>
        </w:rPr>
        <w:t>、评价；（六）健康教育与健康促进，对公众进行健康指导和不良健康行为干预；（七）疾病预防控制技术管理与应用研究指导；（八）其他疾病预防控制工作。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广安区疾控中心2024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筑牢履职基础</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加强党的建设、统筹推进文化内涵建设、人才队伍建设和强化绩效考核；深入学习习近平新时代中国特色社会主义思想，党风廉政建设和反腐败工作同部署同推进同考核；加大人才引进力度，拟考聘6名专业人员，充实专业技术队伍；进一步健全工作制度，明确工作职能职责，完善绩效考核体系，加强对各科室工作绩效目标管理考核，充分调动各方面积极性。</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抓好主责主业</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color w:val="000000"/>
          <w:sz w:val="32"/>
          <w:szCs w:val="32"/>
        </w:rPr>
        <w:t>扎实做好传染病防控工作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疾病监测管理，提高预警预测能力，及时高效开展疫情调查处理，积极防控疫情蔓延，努力确保不发生重大传染病爆发流行。做好新冠病毒感染、猴痘、狂犬病、布病等重点传染病，以及辖区内高发的手足口病、感染性腹泻、流行性感冒、水痘等传染病的调查处置工作，对散发疫情、聚集性疫情和暴发疫情及时按要求进行规范调查处置，控制疫情扩散，规范处置率达100%。</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二是</w:t>
      </w:r>
      <w:r>
        <w:rPr>
          <w:rFonts w:hint="eastAsia" w:ascii="仿宋_GB2312" w:hAnsi="仿宋_GB2312" w:eastAsia="仿宋_GB2312" w:cs="仿宋_GB2312"/>
          <w:color w:val="000000"/>
          <w:sz w:val="32"/>
          <w:szCs w:val="32"/>
        </w:rPr>
        <w:t>深入推进艾滋病防控工作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继续加强“三线”联合督导，每季度对艾滋病防治措施落实情况进行动态评估，定期通报效果指标落实情况，全面落实各项工作指标。持续扩大检测</w:t>
      </w:r>
      <w:r>
        <w:rPr>
          <w:rFonts w:hint="eastAsia" w:ascii="仿宋_GB2312" w:hAnsi="仿宋_GB2312" w:eastAsia="仿宋_GB2312" w:cs="仿宋_GB2312"/>
          <w:color w:val="000000"/>
          <w:sz w:val="32"/>
          <w:szCs w:val="32"/>
          <w:lang w:eastAsia="zh-CN"/>
        </w:rPr>
        <w:t>范围</w:t>
      </w:r>
      <w:r>
        <w:rPr>
          <w:rFonts w:hint="eastAsia" w:ascii="仿宋_GB2312" w:hAnsi="仿宋_GB2312" w:eastAsia="仿宋_GB2312" w:cs="仿宋_GB2312"/>
          <w:color w:val="000000"/>
          <w:sz w:val="32"/>
          <w:szCs w:val="32"/>
        </w:rPr>
        <w:t>，降低晚发现率，继续提高检测覆盖率，优化检测策略，提高检测有效性。</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三是</w:t>
      </w:r>
      <w:r>
        <w:rPr>
          <w:rFonts w:hint="eastAsia" w:ascii="仿宋_GB2312" w:hAnsi="仿宋_GB2312" w:eastAsia="仿宋_GB2312" w:cs="仿宋_GB2312"/>
          <w:color w:val="000000"/>
          <w:sz w:val="32"/>
          <w:szCs w:val="32"/>
        </w:rPr>
        <w:t>持续做好结核病防控工作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val="0"/>
          <w:color w:val="000000"/>
          <w:sz w:val="32"/>
          <w:szCs w:val="32"/>
        </w:rPr>
        <w:t>规范网络报告，提升监测质量。</w:t>
      </w:r>
      <w:r>
        <w:rPr>
          <w:rFonts w:hint="eastAsia" w:ascii="仿宋_GB2312" w:hAnsi="仿宋_GB2312" w:eastAsia="仿宋_GB2312" w:cs="仿宋_GB2312"/>
          <w:color w:val="000000"/>
          <w:sz w:val="32"/>
          <w:szCs w:val="32"/>
        </w:rPr>
        <w:t>完成结核病季度、半年和全年监测分析。</w:t>
      </w:r>
      <w:r>
        <w:rPr>
          <w:rFonts w:hint="eastAsia" w:ascii="仿宋_GB2312" w:hAnsi="仿宋_GB2312" w:eastAsia="仿宋_GB2312" w:cs="仿宋_GB2312"/>
          <w:bCs w:val="0"/>
          <w:color w:val="000000"/>
          <w:sz w:val="32"/>
          <w:szCs w:val="32"/>
        </w:rPr>
        <w:t>加强耐药筛查工作，</w:t>
      </w:r>
      <w:r>
        <w:rPr>
          <w:rFonts w:hint="eastAsia" w:ascii="仿宋_GB2312" w:hAnsi="仿宋_GB2312" w:eastAsia="仿宋_GB2312" w:cs="仿宋_GB2312"/>
          <w:color w:val="000000"/>
          <w:sz w:val="32"/>
          <w:szCs w:val="32"/>
        </w:rPr>
        <w:t>确保耐多药高危人群和病原学阳性肺结核患者耐药筛查率达95%。</w:t>
      </w:r>
      <w:r>
        <w:rPr>
          <w:rFonts w:hint="eastAsia" w:ascii="仿宋_GB2312" w:hAnsi="仿宋_GB2312" w:eastAsia="仿宋_GB2312" w:cs="仿宋_GB2312"/>
          <w:bCs w:val="0"/>
          <w:color w:val="000000"/>
          <w:sz w:val="32"/>
          <w:szCs w:val="32"/>
        </w:rPr>
        <w:t>着力学校结核防控，遏制校园疫情。</w:t>
      </w:r>
      <w:r>
        <w:rPr>
          <w:rFonts w:hint="eastAsia" w:ascii="仿宋_GB2312" w:hAnsi="仿宋_GB2312" w:eastAsia="仿宋_GB2312" w:cs="仿宋_GB2312"/>
          <w:color w:val="000000"/>
          <w:sz w:val="32"/>
          <w:szCs w:val="32"/>
        </w:rPr>
        <w:t>深入开展“百千万志愿者结核病防治知识传播行动”和创建“无结核校园”“无结核社区”活动。加强培训指导，2024年开展2次以上业务培训，每季度全覆盖进行指导。</w:t>
      </w:r>
    </w:p>
    <w:p>
      <w:pPr>
        <w:spacing w:line="590" w:lineRule="exact"/>
        <w:ind w:firstLine="640" w:firstLineChars="200"/>
        <w:jc w:val="left"/>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color w:val="000000"/>
          <w:sz w:val="32"/>
          <w:szCs w:val="32"/>
          <w:lang w:eastAsia="zh-CN"/>
        </w:rPr>
        <w:t>四是</w:t>
      </w:r>
      <w:r>
        <w:rPr>
          <w:rFonts w:hint="eastAsia" w:ascii="仿宋_GB2312" w:hAnsi="仿宋_GB2312" w:eastAsia="仿宋_GB2312" w:cs="仿宋_GB2312"/>
          <w:color w:val="000000"/>
          <w:sz w:val="32"/>
          <w:szCs w:val="32"/>
        </w:rPr>
        <w:t>规范开展免疫规划工作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val="0"/>
          <w:color w:val="000000"/>
          <w:sz w:val="32"/>
          <w:szCs w:val="32"/>
        </w:rPr>
        <w:t>按常住人口制定免疫规划疫苗及非免疫规划疫苗需求计划，全年冷链运转6次以上；做好辖区内流动儿童常规免疫接种，对免疫史不清或记录不详的儿童要及时予以补录补种，着力提升国家免疫规划疫苗接种率；做好入托入学查验工作，防止疫苗针对传染病在学校暴发流行；及时规范处置疑似预防接种异常反应，在规定时间内组织开展核实、调查；</w:t>
      </w:r>
      <w:r>
        <w:rPr>
          <w:rFonts w:hint="eastAsia" w:ascii="仿宋_GB2312" w:hAnsi="仿宋_GB2312" w:eastAsia="仿宋_GB2312" w:cs="仿宋_GB2312"/>
          <w:color w:val="000000"/>
          <w:sz w:val="32"/>
          <w:szCs w:val="32"/>
        </w:rPr>
        <w:t>加强AFP、AEFI、麻疹及风疹监测，</w:t>
      </w:r>
      <w:r>
        <w:rPr>
          <w:rFonts w:hint="eastAsia" w:ascii="仿宋_GB2312" w:hAnsi="仿宋_GB2312" w:eastAsia="仿宋_GB2312" w:cs="仿宋_GB2312"/>
          <w:bCs w:val="0"/>
          <w:color w:val="000000"/>
          <w:sz w:val="32"/>
          <w:szCs w:val="32"/>
        </w:rPr>
        <w:t>继续保持全区无脊灰状态；继续开展规范化接种门诊、数字化门诊的建设；做好免规示范区复审工作，完善近三年的复评审资料。</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val="0"/>
          <w:color w:val="000000"/>
          <w:sz w:val="32"/>
          <w:szCs w:val="32"/>
          <w:lang w:eastAsia="zh-CN"/>
        </w:rPr>
        <w:t>五是</w:t>
      </w:r>
      <w:r>
        <w:rPr>
          <w:rFonts w:hint="eastAsia" w:ascii="仿宋_GB2312" w:hAnsi="仿宋_GB2312" w:eastAsia="仿宋_GB2312" w:cs="仿宋_GB2312"/>
          <w:color w:val="000000"/>
          <w:sz w:val="32"/>
          <w:szCs w:val="32"/>
        </w:rPr>
        <w:t>积极推动慢病防控工作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认真完成各项慢病监测工作，提高监测数据质量，做好数据收集利用，结合基本公共卫生服务及慢病项目，实施慢性病患者的健康管理和干预，进一步加强基层的能力培训，强化指导和综合干预，提升防控效果，高质量完成国家下达的慢病监测和慢病管理指标任务。保持省级慢病示范区建设成果，积极争创建国家级慢病示范区。加强寄生虫病和地方病的防治，及时发现和有效处置输入性疟疾疫情，防止出现输入性疟疾引起的再传播，巩固我区消除疟疾和碘缺乏病的成果。</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六是</w:t>
      </w:r>
      <w:r>
        <w:rPr>
          <w:rFonts w:hint="eastAsia" w:ascii="仿宋_GB2312" w:hAnsi="仿宋_GB2312" w:eastAsia="仿宋_GB2312" w:cs="仿宋_GB2312"/>
          <w:color w:val="000000"/>
          <w:sz w:val="32"/>
          <w:szCs w:val="32"/>
        </w:rPr>
        <w:t>全面做好卫生监测工作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继续做好学生近视及其他重点常见病和健康影响因素调查及干预项目，全年开展近视及常见病干预工作不少于两次。加大职业病防治工作力度，开展建设项目职业危害因素监测、预评价和职业健康监护工作，做好职业病防治和职业病危害因素控制技术推广和实施，指导、协助用人单位改善作业环境，保护劳动者健康权益。认真做好生活饮用水监测工作，加大生活饮用水及二次供水单位监测力度，保障饮用水安全。开展食源性疾病监测，指导监测医院及时完成监测任务。</w:t>
      </w:r>
    </w:p>
    <w:p>
      <w:pPr>
        <w:spacing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七是</w:t>
      </w:r>
      <w:r>
        <w:rPr>
          <w:rFonts w:hint="eastAsia" w:ascii="仿宋_GB2312" w:hAnsi="仿宋_GB2312" w:eastAsia="仿宋_GB2312" w:cs="仿宋_GB2312"/>
          <w:color w:val="000000"/>
          <w:sz w:val="32"/>
          <w:szCs w:val="32"/>
        </w:rPr>
        <w:t>全面提升检验综合能力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继续优化实验室功能布局，完善基础设施，加强仪器设备装备。完成实验室和卫生监测计量认证复评审和检验检测机构资质认定工作，进一步提升卫生检验检测“一锤定音”能力，做好体系改革后的检测能力准备。进一步健全质量管理体系，有效开展质量控制、质量改进等活动，全方位规范和加强疾病预防控制工作各环节的质量控制，提供优质、高效的技术服务，有效防范和杜绝质量事故的发生。</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highlight w:val="none"/>
          <w:lang w:val="en-US" w:eastAsia="zh-CN"/>
        </w:rPr>
        <w:t>广安区疾控中心无下属单位，</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内设</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个科室，主要包</w:t>
      </w:r>
      <w:r>
        <w:rPr>
          <w:rFonts w:hint="eastAsia" w:ascii="Times New Roman" w:hAnsi="Times New Roman" w:eastAsia="仿宋_GB2312" w:cs="Times New Roman"/>
          <w:sz w:val="32"/>
          <w:szCs w:val="32"/>
          <w:highlight w:val="none"/>
        </w:rPr>
        <w:t>括：</w:t>
      </w:r>
      <w:r>
        <w:rPr>
          <w:rFonts w:hint="eastAsia" w:ascii="Times New Roman" w:hAnsi="Times New Roman" w:eastAsia="仿宋_GB2312" w:cs="Times New Roman"/>
          <w:color w:val="auto"/>
          <w:sz w:val="32"/>
          <w:szCs w:val="32"/>
          <w:highlight w:val="none"/>
          <w:lang w:val="en-US" w:eastAsia="zh-CN"/>
        </w:rPr>
        <w:t>办公室、财务科、传防科、重传科、慢病科、免规科、监测科、检验科、美沙酮门诊部。</w:t>
      </w:r>
    </w:p>
    <w:p>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广安区疾控中心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广安区疾控中心</w:t>
      </w:r>
      <w:r>
        <w:rPr>
          <w:rFonts w:hint="default" w:ascii="Times New Roman" w:hAnsi="Times New Roman" w:eastAsia="仿宋_GB2312" w:cs="Times New Roman"/>
          <w:sz w:val="32"/>
          <w:szCs w:val="32"/>
          <w:highlight w:val="none"/>
        </w:rPr>
        <w:t>所有收入和支出均纳入部门预算管理。收入包括：一般公共预算拨款收入；支出包括：社会保障和就业支出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住房保障支出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w:t>
      </w:r>
      <w:r>
        <w:rPr>
          <w:rFonts w:hint="eastAsia" w:ascii="Times New Roman" w:hAnsi="Times New Roman" w:eastAsia="仿宋_GB2312" w:cs="Times New Roman"/>
          <w:sz w:val="32"/>
          <w:szCs w:val="32"/>
          <w:highlight w:val="none"/>
          <w:lang w:eastAsia="zh-CN"/>
        </w:rPr>
        <w:t>数减少</w:t>
      </w:r>
      <w:r>
        <w:rPr>
          <w:rFonts w:hint="eastAsia" w:ascii="Times New Roman" w:hAnsi="Times New Roman" w:eastAsia="仿宋_GB2312" w:cs="Times New Roman"/>
          <w:sz w:val="32"/>
          <w:szCs w:val="32"/>
          <w:highlight w:val="none"/>
          <w:u w:val="none"/>
          <w:lang w:val="en-US" w:eastAsia="zh-CN"/>
        </w:rPr>
        <w:t>14.43</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单位人员流出，人员经费减少</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1004.57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90.78</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102</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9.22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u w:val="none"/>
        </w:rPr>
        <w:t>减少</w:t>
      </w:r>
      <w:r>
        <w:rPr>
          <w:rFonts w:hint="eastAsia" w:ascii="Times New Roman" w:hAnsi="Times New Roman" w:eastAsia="仿宋_GB2312" w:cs="Times New Roman"/>
          <w:sz w:val="32"/>
          <w:szCs w:val="32"/>
          <w:highlight w:val="none"/>
          <w:u w:val="none"/>
          <w:lang w:val="en-US" w:eastAsia="zh-CN"/>
        </w:rPr>
        <w:t>14.43</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单位人员流出，人员经费减少</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万元；支出包括：社会保障和就业支出</w:t>
      </w:r>
      <w:r>
        <w:rPr>
          <w:rFonts w:hint="eastAsia" w:ascii="Times New Roman" w:hAnsi="Times New Roman" w:eastAsia="仿宋_GB2312" w:cs="Times New Roman"/>
          <w:sz w:val="32"/>
          <w:szCs w:val="32"/>
          <w:highlight w:val="none"/>
          <w:lang w:val="en-US" w:eastAsia="zh-CN"/>
        </w:rPr>
        <w:t>110.84万元；</w:t>
      </w:r>
      <w:r>
        <w:rPr>
          <w:rFonts w:hint="eastAsia"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912.59万元；</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83.13万元。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1106.57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减少</w:t>
      </w:r>
      <w:r>
        <w:rPr>
          <w:rFonts w:hint="eastAsia" w:ascii="Times New Roman" w:hAnsi="Times New Roman" w:eastAsia="仿宋_GB2312" w:cs="Times New Roman"/>
          <w:sz w:val="32"/>
          <w:szCs w:val="32"/>
          <w:highlight w:val="none"/>
          <w:u w:val="none"/>
          <w:lang w:val="en-US" w:eastAsia="zh-CN"/>
        </w:rPr>
        <w:t>14.43</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单位人员流出，人员经费减少</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110.84万元，占10.02%；</w:t>
      </w:r>
      <w:r>
        <w:rPr>
          <w:rFonts w:hint="eastAsia" w:ascii="Times New Roman" w:hAnsi="Times New Roman" w:eastAsia="仿宋_GB2312" w:cs="Times New Roman"/>
          <w:sz w:val="32"/>
          <w:szCs w:val="32"/>
          <w:highlight w:val="none"/>
        </w:rPr>
        <w:t> 卫生健康支出</w:t>
      </w:r>
      <w:r>
        <w:rPr>
          <w:rFonts w:hint="eastAsia" w:ascii="Times New Roman" w:hAnsi="Times New Roman" w:eastAsia="仿宋_GB2312" w:cs="Times New Roman"/>
          <w:sz w:val="32"/>
          <w:szCs w:val="32"/>
          <w:highlight w:val="none"/>
          <w:lang w:val="en-US" w:eastAsia="zh-CN"/>
        </w:rPr>
        <w:t>912.59万元，占82.47%；</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83.13万元，占7.51%。</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000000"/>
          <w:sz w:val="28"/>
          <w:szCs w:val="28"/>
        </w:rPr>
      </w:pPr>
      <w:r>
        <w:rPr>
          <w:rFonts w:hint="default" w:ascii="Times New Roman" w:hAnsi="Times New Roman" w:eastAsia="仿宋_GB2312" w:cs="Times New Roman"/>
          <w:sz w:val="32"/>
          <w:szCs w:val="32"/>
          <w:highlight w:val="none"/>
        </w:rPr>
        <w:t>1.社会保障和就业支出（类）</w:t>
      </w:r>
      <w:r>
        <w:rPr>
          <w:rFonts w:hint="eastAsia" w:ascii="Times New Roman" w:hAnsi="Times New Roman" w:eastAsia="仿宋_GB2312" w:cs="Times New Roman"/>
          <w:sz w:val="32"/>
          <w:szCs w:val="32"/>
          <w:highlight w:val="none"/>
          <w:lang w:eastAsia="zh-CN"/>
        </w:rPr>
        <w:t>行政事业单位养老支出</w:t>
      </w:r>
      <w:r>
        <w:rPr>
          <w:rFonts w:hint="default" w:ascii="Times New Roman" w:hAnsi="Times New Roman" w:eastAsia="仿宋_GB2312" w:cs="Times New Roman"/>
          <w:sz w:val="32"/>
          <w:szCs w:val="32"/>
          <w:highlight w:val="none"/>
        </w:rPr>
        <w:t>（款）机关事业单位基本养老保险缴费支出（项）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110.84</w:t>
      </w:r>
      <w:r>
        <w:rPr>
          <w:rFonts w:hint="default" w:ascii="Times New Roman" w:hAnsi="Times New Roman" w:eastAsia="仿宋_GB2312" w:cs="Times New Roman"/>
          <w:sz w:val="32"/>
          <w:szCs w:val="32"/>
          <w:highlight w:val="none"/>
        </w:rPr>
        <w:t>万元，主要用于：</w:t>
      </w:r>
      <w:r>
        <w:rPr>
          <w:rFonts w:hint="eastAsia" w:ascii="仿宋_GB2312" w:hAnsi="仿宋_GB2312" w:eastAsia="仿宋_GB2312" w:cs="仿宋_GB2312"/>
          <w:color w:val="000000"/>
          <w:sz w:val="28"/>
          <w:szCs w:val="28"/>
        </w:rPr>
        <w:t>单位</w:t>
      </w:r>
      <w:r>
        <w:rPr>
          <w:rFonts w:hint="eastAsia" w:ascii="仿宋_GB2312" w:hAnsi="仿宋_GB2312" w:eastAsia="仿宋_GB2312" w:cs="仿宋_GB2312"/>
          <w:color w:val="000000"/>
          <w:sz w:val="28"/>
          <w:szCs w:val="28"/>
          <w:lang w:eastAsia="zh-CN"/>
        </w:rPr>
        <w:t>按规定比例缴纳职工养老保险</w:t>
      </w:r>
      <w:r>
        <w:rPr>
          <w:rFonts w:hint="eastAsia" w:ascii="仿宋_GB2312" w:hAnsi="仿宋_GB2312" w:eastAsia="仿宋_GB2312" w:cs="仿宋_GB2312"/>
          <w:color w:val="000000"/>
          <w:sz w:val="28"/>
          <w:szCs w:val="28"/>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公共卫生</w:t>
      </w:r>
      <w:r>
        <w:rPr>
          <w:rFonts w:hint="default" w:ascii="Times New Roman" w:hAnsi="Times New Roman" w:eastAsia="仿宋_GB2312" w:cs="Times New Roman"/>
          <w:sz w:val="32"/>
          <w:szCs w:val="32"/>
          <w:highlight w:val="none"/>
        </w:rPr>
        <w:t>（款）疾病预防控制机构（项）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785.44</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单位职工人员经费及日常公用经费支出。</w:t>
      </w:r>
    </w:p>
    <w:p>
      <w:pPr>
        <w:spacing w:line="590" w:lineRule="exact"/>
        <w:ind w:firstLine="640" w:firstLineChars="200"/>
        <w:jc w:val="left"/>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公共卫生</w:t>
      </w:r>
      <w:r>
        <w:rPr>
          <w:rFonts w:hint="default" w:ascii="Times New Roman" w:hAnsi="Times New Roman" w:eastAsia="仿宋_GB2312" w:cs="Times New Roman"/>
          <w:sz w:val="32"/>
          <w:szCs w:val="32"/>
          <w:highlight w:val="none"/>
        </w:rPr>
        <w:t>（款）重大公共卫生服务（项）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单位项目经费支出。</w:t>
      </w:r>
    </w:p>
    <w:p>
      <w:pPr>
        <w:spacing w:line="590" w:lineRule="exact"/>
        <w:ind w:firstLine="320" w:firstLineChars="100"/>
        <w:jc w:val="left"/>
        <w:rPr>
          <w:rFonts w:hint="eastAsia" w:eastAsiaTheme="minorEastAsia"/>
          <w:lang w:val="en-US" w:eastAsia="zh-CN"/>
        </w:rPr>
      </w:pPr>
      <w:r>
        <w:rPr>
          <w:rFonts w:hint="eastAsia" w:ascii="Times New Roman" w:hAnsi="Times New Roman" w:eastAsia="仿宋_GB2312" w:cs="Times New Roman"/>
          <w:sz w:val="32"/>
          <w:szCs w:val="32"/>
          <w:highlight w:val="none"/>
          <w:lang w:val="en-US" w:eastAsia="zh-CN"/>
        </w:rPr>
        <w:t xml:space="preserve">  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行政事业单位医疗</w:t>
      </w:r>
      <w:r>
        <w:rPr>
          <w:rFonts w:hint="default" w:ascii="Times New Roman" w:hAnsi="Times New Roman" w:eastAsia="仿宋_GB2312" w:cs="Times New Roman"/>
          <w:sz w:val="32"/>
          <w:szCs w:val="32"/>
          <w:highlight w:val="none"/>
        </w:rPr>
        <w:t>（款）事业单位医疗（项）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37.15</w:t>
      </w:r>
      <w:r>
        <w:rPr>
          <w:rFonts w:hint="default" w:ascii="Times New Roman" w:hAnsi="Times New Roman" w:eastAsia="仿宋_GB2312" w:cs="Times New Roman"/>
          <w:sz w:val="32"/>
          <w:szCs w:val="32"/>
          <w:highlight w:val="none"/>
        </w:rPr>
        <w:t>万元，主要用于：</w:t>
      </w:r>
      <w:r>
        <w:rPr>
          <w:rFonts w:hint="eastAsia" w:ascii="仿宋_GB2312" w:hAnsi="仿宋_GB2312" w:eastAsia="仿宋_GB2312" w:cs="仿宋_GB2312"/>
          <w:color w:val="000000"/>
          <w:sz w:val="28"/>
          <w:szCs w:val="28"/>
        </w:rPr>
        <w:t>单位</w:t>
      </w:r>
      <w:r>
        <w:rPr>
          <w:rFonts w:hint="eastAsia" w:ascii="仿宋_GB2312" w:hAnsi="仿宋_GB2312" w:eastAsia="仿宋_GB2312" w:cs="仿宋_GB2312"/>
          <w:color w:val="000000"/>
          <w:sz w:val="28"/>
          <w:szCs w:val="28"/>
          <w:lang w:eastAsia="zh-CN"/>
        </w:rPr>
        <w:t>按规定比例缴纳职工医疗保险</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000000"/>
          <w:sz w:val="28"/>
          <w:szCs w:val="28"/>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住房保障支出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住房改革支出</w:t>
      </w:r>
      <w:r>
        <w:rPr>
          <w:rFonts w:hint="default"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住房公积金</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83.13</w:t>
      </w:r>
      <w:r>
        <w:rPr>
          <w:rFonts w:hint="default" w:ascii="Times New Roman" w:hAnsi="Times New Roman" w:eastAsia="仿宋_GB2312" w:cs="Times New Roman"/>
          <w:sz w:val="32"/>
          <w:szCs w:val="32"/>
          <w:highlight w:val="none"/>
        </w:rPr>
        <w:t>万元，主要用于：</w:t>
      </w:r>
      <w:r>
        <w:rPr>
          <w:rFonts w:hint="eastAsia" w:ascii="仿宋_GB2312" w:hAnsi="仿宋_GB2312" w:eastAsia="仿宋_GB2312" w:cs="仿宋_GB2312"/>
          <w:color w:val="000000"/>
          <w:sz w:val="28"/>
          <w:szCs w:val="28"/>
        </w:rPr>
        <w:t>单位</w:t>
      </w:r>
      <w:r>
        <w:rPr>
          <w:rFonts w:hint="eastAsia" w:ascii="仿宋_GB2312" w:hAnsi="仿宋_GB2312" w:eastAsia="仿宋_GB2312" w:cs="仿宋_GB2312"/>
          <w:color w:val="000000"/>
          <w:sz w:val="28"/>
          <w:szCs w:val="28"/>
          <w:lang w:eastAsia="zh-CN"/>
        </w:rPr>
        <w:t>按规定比例缴纳职工住房公积金</w:t>
      </w:r>
      <w:r>
        <w:rPr>
          <w:rFonts w:hint="eastAsia" w:ascii="仿宋_GB2312" w:hAnsi="仿宋_GB2312" w:eastAsia="仿宋_GB2312" w:cs="仿宋_GB2312"/>
          <w:color w:val="000000"/>
          <w:sz w:val="28"/>
          <w:szCs w:val="28"/>
        </w:rPr>
        <w:t>。</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1004.57</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930.92</w:t>
      </w:r>
      <w:r>
        <w:rPr>
          <w:rFonts w:hint="default" w:ascii="Times New Roman" w:hAnsi="Times New Roman" w:eastAsia="仿宋_GB2312" w:cs="Times New Roman"/>
          <w:sz w:val="32"/>
          <w:szCs w:val="32"/>
          <w:highlight w:val="none"/>
        </w:rPr>
        <w:t>万元，主要包括：基本工资</w:t>
      </w:r>
      <w:r>
        <w:rPr>
          <w:rFonts w:hint="eastAsia" w:ascii="Times New Roman" w:hAnsi="Times New Roman" w:eastAsia="仿宋_GB2312" w:cs="Times New Roman"/>
          <w:sz w:val="32"/>
          <w:szCs w:val="32"/>
          <w:highlight w:val="none"/>
          <w:lang w:val="en-US" w:eastAsia="zh-CN"/>
        </w:rPr>
        <w:t>290.53万元</w:t>
      </w:r>
      <w:r>
        <w:rPr>
          <w:rFonts w:hint="default" w:ascii="Times New Roman" w:hAnsi="Times New Roman" w:eastAsia="仿宋_GB2312" w:cs="Times New Roman"/>
          <w:sz w:val="32"/>
          <w:szCs w:val="32"/>
          <w:highlight w:val="none"/>
        </w:rPr>
        <w:t>、津贴补贴</w:t>
      </w:r>
      <w:r>
        <w:rPr>
          <w:rFonts w:hint="eastAsia" w:ascii="Times New Roman" w:hAnsi="Times New Roman" w:eastAsia="仿宋_GB2312" w:cs="Times New Roman"/>
          <w:sz w:val="32"/>
          <w:szCs w:val="32"/>
          <w:highlight w:val="none"/>
          <w:lang w:val="en-US" w:eastAsia="zh-CN"/>
        </w:rPr>
        <w:t>42.02万元</w:t>
      </w:r>
      <w:r>
        <w:rPr>
          <w:rFonts w:hint="default" w:ascii="Times New Roman" w:hAnsi="Times New Roman" w:eastAsia="仿宋_GB2312" w:cs="Times New Roman"/>
          <w:sz w:val="32"/>
          <w:szCs w:val="32"/>
          <w:highlight w:val="none"/>
        </w:rPr>
        <w:t>、奖金</w:t>
      </w:r>
      <w:r>
        <w:rPr>
          <w:rFonts w:hint="eastAsia" w:ascii="Times New Roman" w:hAnsi="Times New Roman" w:eastAsia="仿宋_GB2312" w:cs="Times New Roman"/>
          <w:sz w:val="32"/>
          <w:szCs w:val="32"/>
          <w:highlight w:val="none"/>
          <w:lang w:val="en-US" w:eastAsia="zh-CN"/>
        </w:rPr>
        <w:t>181.45万元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绩效工资</w:t>
      </w:r>
      <w:r>
        <w:rPr>
          <w:rFonts w:hint="eastAsia" w:ascii="Times New Roman" w:hAnsi="Times New Roman" w:eastAsia="仿宋_GB2312" w:cs="Times New Roman"/>
          <w:sz w:val="32"/>
          <w:szCs w:val="32"/>
          <w:highlight w:val="none"/>
          <w:lang w:val="en-US" w:eastAsia="zh-CN"/>
        </w:rPr>
        <w:t>178.77万元、</w:t>
      </w:r>
      <w:r>
        <w:rPr>
          <w:rFonts w:hint="eastAsia" w:ascii="Times New Roman" w:hAnsi="Times New Roman" w:eastAsia="仿宋_GB2312" w:cs="Times New Roman"/>
          <w:sz w:val="32"/>
          <w:szCs w:val="32"/>
          <w:highlight w:val="none"/>
        </w:rPr>
        <w:t>机关事业单位基本养老保险缴费110.84</w:t>
      </w:r>
      <w:r>
        <w:rPr>
          <w:rFonts w:hint="eastAsia"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rPr>
        <w:t>职工基本医疗保险缴费</w:t>
      </w:r>
      <w:r>
        <w:rPr>
          <w:rFonts w:hint="eastAsia" w:ascii="Times New Roman" w:hAnsi="Times New Roman" w:eastAsia="仿宋_GB2312" w:cs="Times New Roman"/>
          <w:sz w:val="32"/>
          <w:szCs w:val="32"/>
          <w:highlight w:val="none"/>
          <w:lang w:val="en-US" w:eastAsia="zh-CN"/>
        </w:rPr>
        <w:t>37.15万元、</w:t>
      </w:r>
      <w:r>
        <w:rPr>
          <w:rFonts w:hint="eastAsia" w:ascii="Times New Roman" w:hAnsi="Times New Roman" w:eastAsia="仿宋_GB2312" w:cs="Times New Roman"/>
          <w:sz w:val="32"/>
          <w:szCs w:val="32"/>
          <w:highlight w:val="none"/>
        </w:rPr>
        <w:t>其他社会保障缴费</w:t>
      </w:r>
      <w:r>
        <w:rPr>
          <w:rFonts w:hint="eastAsia" w:ascii="Times New Roman" w:hAnsi="Times New Roman" w:eastAsia="仿宋_GB2312" w:cs="Times New Roman"/>
          <w:sz w:val="32"/>
          <w:szCs w:val="32"/>
          <w:highlight w:val="none"/>
          <w:lang w:val="en-US" w:eastAsia="zh-CN"/>
        </w:rPr>
        <w:t>4.25万元、</w:t>
      </w:r>
      <w:r>
        <w:rPr>
          <w:rFonts w:hint="eastAsia" w:ascii="Times New Roman" w:hAnsi="Times New Roman" w:eastAsia="仿宋_GB2312" w:cs="Times New Roman"/>
          <w:sz w:val="32"/>
          <w:szCs w:val="32"/>
          <w:highlight w:val="none"/>
        </w:rPr>
        <w:t>住房公积金</w:t>
      </w:r>
      <w:r>
        <w:rPr>
          <w:rFonts w:hint="eastAsia" w:ascii="Times New Roman" w:hAnsi="Times New Roman" w:eastAsia="仿宋_GB2312" w:cs="Times New Roman"/>
          <w:sz w:val="32"/>
          <w:szCs w:val="32"/>
          <w:highlight w:val="none"/>
          <w:lang w:val="en-US" w:eastAsia="zh-CN"/>
        </w:rPr>
        <w:t>83.13万元、</w:t>
      </w:r>
      <w:r>
        <w:rPr>
          <w:rFonts w:hint="eastAsia" w:ascii="Times New Roman" w:hAnsi="Times New Roman" w:eastAsia="仿宋_GB2312" w:cs="Times New Roman"/>
          <w:sz w:val="32"/>
          <w:szCs w:val="32"/>
          <w:highlight w:val="none"/>
        </w:rPr>
        <w:t>对个人和家庭的补助</w:t>
      </w:r>
      <w:r>
        <w:rPr>
          <w:rFonts w:hint="eastAsia" w:ascii="Times New Roman" w:hAnsi="Times New Roman" w:eastAsia="仿宋_GB2312" w:cs="Times New Roman"/>
          <w:sz w:val="32"/>
          <w:szCs w:val="32"/>
          <w:highlight w:val="none"/>
          <w:lang w:val="en-US" w:eastAsia="zh-CN"/>
        </w:rPr>
        <w:t>2.76万元。</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73.65</w:t>
      </w:r>
      <w:r>
        <w:rPr>
          <w:rFonts w:hint="default" w:ascii="Times New Roman" w:hAnsi="Times New Roman" w:eastAsia="仿宋_GB2312" w:cs="Times New Roman"/>
          <w:sz w:val="32"/>
          <w:szCs w:val="32"/>
          <w:highlight w:val="none"/>
        </w:rPr>
        <w:t>万元，主要包括：办公费</w:t>
      </w:r>
      <w:r>
        <w:rPr>
          <w:rFonts w:hint="eastAsia" w:ascii="Times New Roman" w:hAnsi="Times New Roman" w:eastAsia="仿宋_GB2312" w:cs="Times New Roman"/>
          <w:sz w:val="32"/>
          <w:szCs w:val="32"/>
          <w:highlight w:val="none"/>
          <w:lang w:val="en-US" w:eastAsia="zh-CN"/>
        </w:rPr>
        <w:t>5万元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水费</w:t>
      </w:r>
      <w:r>
        <w:rPr>
          <w:rFonts w:hint="eastAsia" w:ascii="Times New Roman" w:hAnsi="Times New Roman" w:eastAsia="仿宋_GB2312" w:cs="Times New Roman"/>
          <w:sz w:val="32"/>
          <w:szCs w:val="32"/>
          <w:highlight w:val="none"/>
          <w:lang w:val="en-US" w:eastAsia="zh-CN"/>
        </w:rPr>
        <w:t>3万元、电费8万元、邮电费7万元、差旅费12万元、</w:t>
      </w:r>
      <w:r>
        <w:rPr>
          <w:rFonts w:hint="eastAsia" w:ascii="Times New Roman" w:hAnsi="Times New Roman" w:eastAsia="仿宋_GB2312" w:cs="Times New Roman"/>
          <w:sz w:val="32"/>
          <w:szCs w:val="32"/>
          <w:highlight w:val="none"/>
        </w:rPr>
        <w:t>维修（护）费</w:t>
      </w:r>
      <w:r>
        <w:rPr>
          <w:rFonts w:hint="eastAsia" w:ascii="Times New Roman" w:hAnsi="Times New Roman" w:eastAsia="仿宋_GB2312" w:cs="Times New Roman"/>
          <w:sz w:val="32"/>
          <w:szCs w:val="32"/>
          <w:highlight w:val="none"/>
          <w:lang w:val="en-US" w:eastAsia="zh-CN"/>
        </w:rPr>
        <w:t>3万元、</w:t>
      </w:r>
      <w:r>
        <w:rPr>
          <w:rFonts w:hint="eastAsia" w:ascii="Times New Roman" w:hAnsi="Times New Roman" w:eastAsia="仿宋_GB2312" w:cs="Times New Roman"/>
          <w:sz w:val="32"/>
          <w:szCs w:val="32"/>
          <w:highlight w:val="none"/>
        </w:rPr>
        <w:t>培训费</w:t>
      </w:r>
      <w:r>
        <w:rPr>
          <w:rFonts w:hint="eastAsia" w:ascii="Times New Roman" w:hAnsi="Times New Roman" w:eastAsia="仿宋_GB2312" w:cs="Times New Roman"/>
          <w:sz w:val="32"/>
          <w:szCs w:val="32"/>
          <w:highlight w:val="none"/>
          <w:lang w:val="en-US" w:eastAsia="zh-CN"/>
        </w:rPr>
        <w:t>1万元、</w:t>
      </w:r>
      <w:r>
        <w:rPr>
          <w:rFonts w:hint="eastAsia" w:ascii="Times New Roman" w:hAnsi="Times New Roman" w:eastAsia="仿宋_GB2312" w:cs="Times New Roman"/>
          <w:sz w:val="32"/>
          <w:szCs w:val="32"/>
          <w:highlight w:val="none"/>
        </w:rPr>
        <w:t>公务接待费</w:t>
      </w:r>
      <w:r>
        <w:rPr>
          <w:rFonts w:hint="eastAsia" w:ascii="Times New Roman" w:hAnsi="Times New Roman" w:eastAsia="仿宋_GB2312" w:cs="Times New Roman"/>
          <w:sz w:val="32"/>
          <w:szCs w:val="32"/>
          <w:highlight w:val="none"/>
          <w:lang w:val="en-US" w:eastAsia="zh-CN"/>
        </w:rPr>
        <w:t>3.1万元、</w:t>
      </w:r>
      <w:r>
        <w:rPr>
          <w:rFonts w:hint="eastAsia" w:ascii="Times New Roman" w:hAnsi="Times New Roman" w:eastAsia="仿宋_GB2312" w:cs="Times New Roman"/>
          <w:sz w:val="32"/>
          <w:szCs w:val="32"/>
          <w:highlight w:val="none"/>
        </w:rPr>
        <w:t>劳务费</w:t>
      </w:r>
      <w:r>
        <w:rPr>
          <w:rFonts w:hint="eastAsia" w:ascii="Times New Roman" w:hAnsi="Times New Roman" w:eastAsia="仿宋_GB2312" w:cs="Times New Roman"/>
          <w:sz w:val="32"/>
          <w:szCs w:val="32"/>
          <w:highlight w:val="none"/>
          <w:lang w:val="en-US" w:eastAsia="zh-CN"/>
        </w:rPr>
        <w:t>3万元、</w:t>
      </w:r>
      <w:r>
        <w:rPr>
          <w:rFonts w:hint="eastAsia" w:ascii="Times New Roman" w:hAnsi="Times New Roman" w:eastAsia="仿宋_GB2312" w:cs="Times New Roman"/>
          <w:sz w:val="32"/>
          <w:szCs w:val="32"/>
          <w:highlight w:val="none"/>
        </w:rPr>
        <w:t>福利费</w:t>
      </w:r>
      <w:r>
        <w:rPr>
          <w:rFonts w:hint="eastAsia" w:ascii="Times New Roman" w:hAnsi="Times New Roman" w:eastAsia="仿宋_GB2312" w:cs="Times New Roman"/>
          <w:sz w:val="32"/>
          <w:szCs w:val="32"/>
          <w:highlight w:val="none"/>
          <w:lang w:val="en-US" w:eastAsia="zh-CN"/>
        </w:rPr>
        <w:t>23.85万元、</w:t>
      </w:r>
      <w:r>
        <w:rPr>
          <w:rFonts w:hint="eastAsia" w:ascii="Times New Roman" w:hAnsi="Times New Roman" w:eastAsia="仿宋_GB2312" w:cs="Times New Roman"/>
          <w:sz w:val="32"/>
          <w:szCs w:val="32"/>
          <w:highlight w:val="none"/>
        </w:rPr>
        <w:t>公务用车运行维护费</w:t>
      </w:r>
      <w:r>
        <w:rPr>
          <w:rFonts w:hint="eastAsia" w:ascii="Times New Roman" w:hAnsi="Times New Roman" w:eastAsia="仿宋_GB2312" w:cs="Times New Roman"/>
          <w:sz w:val="32"/>
          <w:szCs w:val="32"/>
          <w:highlight w:val="none"/>
          <w:lang w:val="en-US" w:eastAsia="zh-CN"/>
        </w:rPr>
        <w:t>1万元、其</w:t>
      </w:r>
      <w:r>
        <w:rPr>
          <w:rFonts w:hint="eastAsia" w:ascii="Times New Roman" w:hAnsi="Times New Roman" w:eastAsia="仿宋_GB2312" w:cs="Times New Roman"/>
          <w:sz w:val="32"/>
          <w:szCs w:val="32"/>
          <w:highlight w:val="none"/>
        </w:rPr>
        <w:t>他商品和服务支出</w:t>
      </w:r>
      <w:r>
        <w:rPr>
          <w:rFonts w:hint="eastAsia" w:ascii="Times New Roman" w:hAnsi="Times New Roman" w:eastAsia="仿宋_GB2312" w:cs="Times New Roman"/>
          <w:sz w:val="32"/>
          <w:szCs w:val="32"/>
          <w:highlight w:val="none"/>
          <w:lang w:val="en-US" w:eastAsia="zh-CN"/>
        </w:rPr>
        <w:t>2.7万元、</w:t>
      </w:r>
      <w:r>
        <w:rPr>
          <w:rFonts w:hint="eastAsia" w:ascii="Times New Roman" w:hAnsi="Times New Roman" w:eastAsia="仿宋_GB2312" w:cs="Times New Roman"/>
          <w:sz w:val="32"/>
          <w:szCs w:val="32"/>
          <w:highlight w:val="none"/>
        </w:rPr>
        <w:t>办公设备购置</w:t>
      </w:r>
      <w:r>
        <w:rPr>
          <w:rFonts w:hint="eastAsia" w:ascii="Times New Roman" w:hAnsi="Times New Roman" w:eastAsia="仿宋_GB2312" w:cs="Times New Roman"/>
          <w:sz w:val="32"/>
          <w:szCs w:val="32"/>
          <w:highlight w:val="none"/>
          <w:lang w:val="en-US" w:eastAsia="zh-CN"/>
        </w:rPr>
        <w:t>1万元。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4.1</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eastAsia" w:ascii="Times New Roman" w:hAnsi="Times New Roman" w:eastAsia="楷体_GB2312" w:cs="Times New Roman"/>
          <w:sz w:val="32"/>
          <w:szCs w:val="32"/>
          <w:highlight w:val="none"/>
          <w:u w:val="single"/>
          <w:lang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无</w:t>
      </w:r>
      <w:r>
        <w:rPr>
          <w:rFonts w:hint="default" w:ascii="Times New Roman" w:hAnsi="Times New Roman" w:eastAsia="楷体_GB2312" w:cs="Times New Roman"/>
          <w:b/>
          <w:sz w:val="32"/>
          <w:szCs w:val="32"/>
          <w:highlight w:val="none"/>
        </w:rPr>
        <w:t>因公出国（境）经费</w:t>
      </w:r>
      <w:r>
        <w:rPr>
          <w:rFonts w:hint="eastAsia" w:ascii="Times New Roman" w:hAnsi="Times New Roman" w:eastAsia="楷体_GB2312" w:cs="Times New Roman"/>
          <w:b/>
          <w:sz w:val="32"/>
          <w:szCs w:val="32"/>
          <w:highlight w:val="none"/>
          <w:lang w:eastAsia="zh-CN"/>
        </w:rPr>
        <w:t>。</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2023</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w:t>
      </w:r>
      <w:r>
        <w:rPr>
          <w:rFonts w:hint="default" w:ascii="Times New Roman" w:hAnsi="Times New Roman" w:eastAsia="楷体_GB2312" w:cs="Times New Roman"/>
          <w:b/>
          <w:sz w:val="32"/>
          <w:szCs w:val="32"/>
          <w:highlight w:val="none"/>
          <w:u w:val="none"/>
        </w:rPr>
        <w:t>算与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仿宋_GB2312"/>
          <w:sz w:val="32"/>
          <w:szCs w:val="32"/>
          <w:highlight w:val="none"/>
          <w:lang w:val="en-US" w:eastAsia="zh-CN"/>
        </w:rPr>
        <w:t>单位日常公务接待</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2023</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单位现有公务用车5辆，其中：轿车1辆，旅行车（含商务车）2辆，越野车1辆，疫苗冷链车1辆。</w:t>
      </w:r>
    </w:p>
    <w:p>
      <w:pPr>
        <w:suppressAutoHyphens/>
        <w:bidi w:val="0"/>
        <w:spacing w:line="580" w:lineRule="exact"/>
        <w:ind w:firstLine="64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未</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eastAsia="zh-CN"/>
        </w:rPr>
        <w:t>。</w:t>
      </w:r>
    </w:p>
    <w:p>
      <w:pPr>
        <w:suppressAutoHyphens/>
        <w:bidi w:val="0"/>
        <w:spacing w:line="590" w:lineRule="exact"/>
        <w:ind w:firstLine="640" w:firstLineChars="200"/>
        <w:jc w:val="lef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辆公务用</w:t>
      </w:r>
      <w:r>
        <w:rPr>
          <w:rFonts w:hint="default" w:ascii="Times New Roman" w:hAnsi="Times New Roman" w:eastAsia="仿宋_GB2312" w:cs="Times New Roman"/>
          <w:sz w:val="32"/>
          <w:szCs w:val="32"/>
          <w:highlight w:val="none"/>
          <w:u w:val="none"/>
        </w:rPr>
        <w:t>车燃油、维修、保险</w:t>
      </w:r>
      <w:r>
        <w:rPr>
          <w:rFonts w:hint="default" w:ascii="Times New Roman" w:hAnsi="Times New Roman" w:eastAsia="仿宋_GB2312" w:cs="Times New Roman"/>
          <w:sz w:val="32"/>
          <w:szCs w:val="32"/>
          <w:highlight w:val="none"/>
        </w:rPr>
        <w:t>等方面支出，</w:t>
      </w:r>
      <w:r>
        <w:rPr>
          <w:rFonts w:hint="eastAsia" w:ascii="Times New Roman" w:hAnsi="Times New Roman" w:eastAsia="仿宋_GB2312"/>
          <w:sz w:val="32"/>
          <w:szCs w:val="32"/>
          <w:highlight w:val="none"/>
          <w:lang w:val="en-US" w:eastAsia="zh-CN"/>
        </w:rPr>
        <w:t>主要保障单位日常需要及疫苗运转等工作开展。</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广安区疾控中心</w:t>
      </w:r>
      <w:r>
        <w:rPr>
          <w:rFonts w:hint="default" w:ascii="Times New Roman" w:hAnsi="Times New Roman" w:eastAsia="仿宋_GB2312" w:cs="Times New Roman"/>
          <w:sz w:val="32"/>
          <w:szCs w:val="32"/>
          <w:highlight w:val="none"/>
        </w:rPr>
        <w:t>为事业单位，按规定未使用机关运行的相关科目。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广安区疾控中心</w:t>
      </w:r>
      <w:r>
        <w:rPr>
          <w:rFonts w:hint="default" w:ascii="Times New Roman" w:hAnsi="Times New Roman" w:eastAsia="仿宋_GB2312" w:cs="Times New Roman"/>
          <w:sz w:val="32"/>
          <w:szCs w:val="32"/>
          <w:highlight w:val="none"/>
        </w:rPr>
        <w:t>安排政府采购预算</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其中，政府采购货物</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；政府采购工程</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；政府采购服务</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广安区疾控中心</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辆，其中，</w:t>
      </w:r>
      <w:r>
        <w:rPr>
          <w:rFonts w:hint="eastAsia" w:ascii="Times New Roman" w:hAnsi="Times New Roman" w:eastAsia="仿宋_GB2312" w:cs="Times New Roman"/>
          <w:sz w:val="32"/>
          <w:szCs w:val="32"/>
          <w:highlight w:val="none"/>
          <w:lang w:eastAsia="zh-CN"/>
        </w:rPr>
        <w:t>公务</w:t>
      </w:r>
      <w:r>
        <w:rPr>
          <w:rFonts w:hint="default" w:ascii="Times New Roman" w:hAnsi="Times New Roman" w:eastAsia="仿宋_GB2312" w:cs="Times New Roman"/>
          <w:sz w:val="32"/>
          <w:szCs w:val="32"/>
          <w:highlight w:val="none"/>
        </w:rPr>
        <w:t>用车</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广安区疾控中心</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102</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u w:val="singl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2"/>
        <w:rPr>
          <w:rFonts w:hint="default" w:ascii="Times New Roman" w:hAnsi="Times New Roman" w:eastAsia="仿宋_GB2312" w:cs="Times New Roman"/>
          <w:sz w:val="32"/>
          <w:szCs w:val="32"/>
          <w:highlight w:val="none"/>
          <w:lang w:val="en-US" w:eastAsia="zh-CN"/>
        </w:rPr>
      </w:pPr>
    </w:p>
    <w:p>
      <w:pPr>
        <w:pStyle w:val="1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40" w:lineRule="auto"/>
        <w:ind w:firstLine="0" w:firstLineChars="0"/>
        <w:rPr>
          <w:rFonts w:hint="default" w:ascii="Times New Roman" w:hAnsi="Times New Roman" w:eastAsia="楷体" w:cs="Times New Roman"/>
          <w:b/>
          <w:color w:val="FF0000"/>
          <w:sz w:val="32"/>
          <w:szCs w:val="32"/>
          <w:highlight w:val="none"/>
        </w:rPr>
      </w:pPr>
      <w:r>
        <w:rPr>
          <w:rFonts w:hint="default" w:ascii="Times New Roman" w:hAnsi="Times New Roman" w:eastAsia="楷体" w:cs="Times New Roman"/>
          <w:b/>
          <w:color w:val="FF0000"/>
          <w:sz w:val="32"/>
          <w:szCs w:val="32"/>
          <w:highlight w:val="none"/>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广安区疾控中心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2024年部门预算表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p>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p>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YzM2MWQzNzgxMTMwYWNjYTUwYjU2NzZiZGQ2ZTg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66F00"/>
    <w:rsid w:val="00EA0D9C"/>
    <w:rsid w:val="00EF01A4"/>
    <w:rsid w:val="00EF1F05"/>
    <w:rsid w:val="00EF4AF1"/>
    <w:rsid w:val="00F02918"/>
    <w:rsid w:val="00F25276"/>
    <w:rsid w:val="00F4266C"/>
    <w:rsid w:val="00F55386"/>
    <w:rsid w:val="00F77A7F"/>
    <w:rsid w:val="00FA45BE"/>
    <w:rsid w:val="04AF02D8"/>
    <w:rsid w:val="11D275DA"/>
    <w:rsid w:val="15B67CD6"/>
    <w:rsid w:val="15FFCE06"/>
    <w:rsid w:val="176EB2CA"/>
    <w:rsid w:val="1C6A443A"/>
    <w:rsid w:val="1CEF11B4"/>
    <w:rsid w:val="1DE9F11D"/>
    <w:rsid w:val="1DFEF48B"/>
    <w:rsid w:val="1E5E9CAC"/>
    <w:rsid w:val="1E9F4C3A"/>
    <w:rsid w:val="1FFED141"/>
    <w:rsid w:val="294028C1"/>
    <w:rsid w:val="2BF6B04D"/>
    <w:rsid w:val="2FE72238"/>
    <w:rsid w:val="333921E3"/>
    <w:rsid w:val="366A7D01"/>
    <w:rsid w:val="37752F0F"/>
    <w:rsid w:val="37D7200A"/>
    <w:rsid w:val="37DB54BF"/>
    <w:rsid w:val="3BF7822D"/>
    <w:rsid w:val="3ECB2752"/>
    <w:rsid w:val="3EF3FC2D"/>
    <w:rsid w:val="3F4E83B9"/>
    <w:rsid w:val="3F791594"/>
    <w:rsid w:val="3F7F3D35"/>
    <w:rsid w:val="3FEF825B"/>
    <w:rsid w:val="45FD8A71"/>
    <w:rsid w:val="48FF203E"/>
    <w:rsid w:val="498543EF"/>
    <w:rsid w:val="49DF8F8D"/>
    <w:rsid w:val="4F37A3C3"/>
    <w:rsid w:val="53DFDA61"/>
    <w:rsid w:val="56030C3B"/>
    <w:rsid w:val="57D6273D"/>
    <w:rsid w:val="57F7A238"/>
    <w:rsid w:val="57FFFCA8"/>
    <w:rsid w:val="59CB011C"/>
    <w:rsid w:val="5A937E7C"/>
    <w:rsid w:val="5ABFA6AD"/>
    <w:rsid w:val="5BD6492A"/>
    <w:rsid w:val="5CB7BA99"/>
    <w:rsid w:val="5CFE9876"/>
    <w:rsid w:val="5D95E3D3"/>
    <w:rsid w:val="5DDE8EDA"/>
    <w:rsid w:val="5DFE7261"/>
    <w:rsid w:val="5EB623FC"/>
    <w:rsid w:val="5F2F86E9"/>
    <w:rsid w:val="5FE7E072"/>
    <w:rsid w:val="5FFC71C1"/>
    <w:rsid w:val="5FFF199C"/>
    <w:rsid w:val="63F79408"/>
    <w:rsid w:val="63FBFE1C"/>
    <w:rsid w:val="64D916AD"/>
    <w:rsid w:val="66E20F29"/>
    <w:rsid w:val="67843A07"/>
    <w:rsid w:val="67F65CF0"/>
    <w:rsid w:val="6BEEE90C"/>
    <w:rsid w:val="6CFE95BA"/>
    <w:rsid w:val="6DD7B53C"/>
    <w:rsid w:val="6DDF82BB"/>
    <w:rsid w:val="6EFAA790"/>
    <w:rsid w:val="6EFD8677"/>
    <w:rsid w:val="6F3B0F61"/>
    <w:rsid w:val="6F9BB48F"/>
    <w:rsid w:val="6FAFCD21"/>
    <w:rsid w:val="6FFDBC71"/>
    <w:rsid w:val="6FFF42B9"/>
    <w:rsid w:val="7273167E"/>
    <w:rsid w:val="7375DF5E"/>
    <w:rsid w:val="739FA989"/>
    <w:rsid w:val="775F5835"/>
    <w:rsid w:val="777FD03C"/>
    <w:rsid w:val="78FF0635"/>
    <w:rsid w:val="79D7B71B"/>
    <w:rsid w:val="7B6D8555"/>
    <w:rsid w:val="7BB5BB3B"/>
    <w:rsid w:val="7BBD26E8"/>
    <w:rsid w:val="7BE694FB"/>
    <w:rsid w:val="7BEE3A28"/>
    <w:rsid w:val="7BFAD181"/>
    <w:rsid w:val="7BFF63B1"/>
    <w:rsid w:val="7D49654D"/>
    <w:rsid w:val="7D7E018B"/>
    <w:rsid w:val="7DBF609B"/>
    <w:rsid w:val="7DD9A961"/>
    <w:rsid w:val="7DDF1AF8"/>
    <w:rsid w:val="7DFB24B8"/>
    <w:rsid w:val="7DFEAF7B"/>
    <w:rsid w:val="7E194632"/>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before="0" w:after="140" w:line="276" w:lineRule="auto"/>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page number"/>
    <w:basedOn w:val="8"/>
    <w:unhideWhenUsed/>
    <w:qFormat/>
    <w:uiPriority w:val="99"/>
  </w:style>
  <w:style w:type="character" w:customStyle="1" w:styleId="11">
    <w:name w:val="apple-converted-space"/>
    <w:basedOn w:val="8"/>
    <w:qFormat/>
    <w:uiPriority w:val="0"/>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4</TotalTime>
  <ScaleCrop>false</ScaleCrop>
  <LinksUpToDate>false</LinksUpToDate>
  <CharactersWithSpaces>3050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甘婉容</cp:lastModifiedBy>
  <cp:lastPrinted>2023-05-14T02:35:00Z</cp:lastPrinted>
  <dcterms:modified xsi:type="dcterms:W3CDTF">2024-03-01T03:57:38Z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9EA906F818DE434C93AFD0453904CB0F_13</vt:lpwstr>
  </property>
</Properties>
</file>