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olor w:val="000000"/>
          <w:sz w:val="36"/>
          <w:szCs w:val="36"/>
        </w:rPr>
      </w:pPr>
      <w:bookmarkStart w:id="83" w:name="_GoBack"/>
      <w:bookmarkEnd w:id="83"/>
    </w:p>
    <w:p>
      <w:pPr>
        <w:spacing w:line="600" w:lineRule="exact"/>
        <w:jc w:val="center"/>
        <w:rPr>
          <w:rFonts w:hint="eastAsia" w:ascii="方正小标宋简体" w:hAnsi="宋体" w:eastAsia="方正小标宋简体"/>
          <w:color w:val="000000"/>
          <w:sz w:val="36"/>
          <w:szCs w:val="36"/>
        </w:rPr>
      </w:pPr>
    </w:p>
    <w:p>
      <w:pPr>
        <w:spacing w:line="600" w:lineRule="exact"/>
        <w:jc w:val="center"/>
        <w:rPr>
          <w:rFonts w:hint="eastAsia" w:ascii="方正小标宋简体" w:hAnsi="宋体" w:eastAsia="方正小标宋简体"/>
          <w:color w:val="000000"/>
          <w:sz w:val="36"/>
          <w:szCs w:val="36"/>
        </w:rPr>
      </w:pPr>
    </w:p>
    <w:p>
      <w:pPr>
        <w:adjustRightInd w:val="0"/>
        <w:snapToGrid w:val="0"/>
        <w:spacing w:line="360" w:lineRule="auto"/>
        <w:jc w:val="center"/>
        <w:outlineLvl w:val="0"/>
        <w:rPr>
          <w:rFonts w:ascii="方正小标宋_GBK" w:hAnsi="黑体" w:eastAsia="方正小标宋_GBK" w:cs="方正小标宋_GBK"/>
          <w:color w:val="000000"/>
          <w:sz w:val="72"/>
          <w:szCs w:val="72"/>
        </w:rPr>
      </w:pPr>
      <w:bookmarkStart w:id="0" w:name="_Toc15378441"/>
      <w:bookmarkStart w:id="1" w:name="_Toc15377425"/>
      <w:bookmarkStart w:id="2" w:name="_Toc15396597"/>
      <w:bookmarkStart w:id="3" w:name="_Toc15377193"/>
      <w:bookmarkStart w:id="4" w:name="_Toc15396475"/>
      <w:bookmarkStart w:id="5" w:name="_Toc13518"/>
      <w:r>
        <w:rPr>
          <w:rFonts w:ascii="方正小标宋_GBK" w:hAnsi="黑体" w:eastAsia="方正小标宋_GBK" w:cs="方正小标宋_GBK"/>
          <w:color w:val="000000"/>
          <w:sz w:val="72"/>
          <w:szCs w:val="72"/>
        </w:rPr>
        <w:t>202</w:t>
      </w:r>
      <w:r>
        <w:rPr>
          <w:rFonts w:hint="eastAsia" w:ascii="方正小标宋_GBK" w:hAnsi="黑体" w:eastAsia="方正小标宋_GBK" w:cs="方正小标宋_GBK"/>
          <w:color w:val="000000"/>
          <w:sz w:val="72"/>
          <w:szCs w:val="72"/>
          <w:lang w:val="en-US" w:eastAsia="zh-CN"/>
        </w:rPr>
        <w:t>2</w:t>
      </w:r>
      <w:r>
        <w:rPr>
          <w:rFonts w:hint="eastAsia" w:ascii="方正小标宋_GBK" w:hAnsi="黑体" w:eastAsia="方正小标宋_GBK" w:cs="方正小标宋_GBK"/>
          <w:color w:val="000000"/>
          <w:sz w:val="72"/>
          <w:szCs w:val="72"/>
        </w:rPr>
        <w:t>年度</w:t>
      </w:r>
      <w:bookmarkEnd w:id="0"/>
      <w:bookmarkEnd w:id="1"/>
      <w:bookmarkEnd w:id="2"/>
      <w:bookmarkEnd w:id="3"/>
      <w:bookmarkEnd w:id="4"/>
      <w:bookmarkEnd w:id="5"/>
    </w:p>
    <w:p>
      <w:pPr>
        <w:adjustRightInd w:val="0"/>
        <w:snapToGrid w:val="0"/>
        <w:spacing w:line="360" w:lineRule="auto"/>
        <w:jc w:val="center"/>
        <w:outlineLvl w:val="0"/>
        <w:rPr>
          <w:rFonts w:ascii="方正小标宋_GBK" w:hAnsi="黑体" w:eastAsia="方正小标宋_GBK" w:cs="方正小标宋_GBK"/>
          <w:color w:val="000000"/>
          <w:sz w:val="72"/>
          <w:szCs w:val="72"/>
        </w:rPr>
      </w:pPr>
      <w:bookmarkStart w:id="6" w:name="_Toc17371"/>
      <w:bookmarkStart w:id="7" w:name="_Toc15377426"/>
      <w:bookmarkStart w:id="8" w:name="_Toc15377194"/>
      <w:bookmarkStart w:id="9" w:name="_Toc15378442"/>
      <w:bookmarkStart w:id="10" w:name="_Toc15396476"/>
      <w:bookmarkStart w:id="11" w:name="_Toc15396598"/>
      <w:r>
        <w:rPr>
          <w:rFonts w:hint="eastAsia" w:ascii="方正小标宋_GBK" w:hAnsi="黑体" w:eastAsia="方正小标宋_GBK" w:cs="方正小标宋_GBK"/>
          <w:color w:val="000000"/>
          <w:sz w:val="72"/>
          <w:szCs w:val="72"/>
        </w:rPr>
        <w:t>四川省</w:t>
      </w:r>
      <w:bookmarkStart w:id="12" w:name="_Toc15306268"/>
      <w:r>
        <w:rPr>
          <w:rFonts w:hint="eastAsia" w:ascii="方正小标宋_GBK" w:hAnsi="黑体" w:eastAsia="方正小标宋_GBK" w:cs="方正小标宋_GBK"/>
          <w:color w:val="000000"/>
          <w:sz w:val="72"/>
          <w:szCs w:val="72"/>
        </w:rPr>
        <w:t>广安市广安区</w:t>
      </w:r>
      <w:bookmarkEnd w:id="6"/>
    </w:p>
    <w:p>
      <w:pPr>
        <w:adjustRightInd w:val="0"/>
        <w:snapToGrid w:val="0"/>
        <w:spacing w:line="360" w:lineRule="auto"/>
        <w:jc w:val="center"/>
        <w:outlineLvl w:val="0"/>
        <w:rPr>
          <w:rFonts w:hint="eastAsia" w:ascii="方正小标宋_GBK" w:hAnsi="黑体" w:eastAsia="方正小标宋_GBK" w:cs="方正小标宋_GBK"/>
          <w:color w:val="000000"/>
          <w:sz w:val="72"/>
          <w:szCs w:val="72"/>
          <w:lang w:val="en-US" w:eastAsia="zh-CN"/>
        </w:rPr>
      </w:pPr>
      <w:bookmarkStart w:id="13" w:name="_Toc14091"/>
      <w:r>
        <w:rPr>
          <w:rFonts w:hint="eastAsia" w:ascii="方正小标宋_GBK" w:hAnsi="黑体" w:eastAsia="方正小标宋_GBK" w:cs="方正小标宋_GBK"/>
          <w:color w:val="000000"/>
          <w:sz w:val="72"/>
          <w:szCs w:val="72"/>
          <w:lang w:val="en-US" w:eastAsia="zh-CN"/>
        </w:rPr>
        <w:t>妇幼保健计划</w:t>
      </w:r>
      <w:bookmarkEnd w:id="13"/>
    </w:p>
    <w:p>
      <w:pPr>
        <w:adjustRightInd w:val="0"/>
        <w:snapToGrid w:val="0"/>
        <w:spacing w:line="360" w:lineRule="auto"/>
        <w:jc w:val="center"/>
        <w:outlineLvl w:val="0"/>
        <w:rPr>
          <w:rFonts w:hint="eastAsia" w:ascii="方正小标宋_GBK" w:hAnsi="黑体" w:eastAsia="方正小标宋_GBK" w:cs="方正小标宋_GBK"/>
          <w:color w:val="000000"/>
          <w:sz w:val="72"/>
          <w:szCs w:val="72"/>
          <w:lang w:val="en-US" w:eastAsia="zh-CN"/>
        </w:rPr>
      </w:pPr>
      <w:bookmarkStart w:id="14" w:name="_Toc15650"/>
      <w:r>
        <w:rPr>
          <w:rFonts w:hint="eastAsia" w:ascii="方正小标宋_GBK" w:hAnsi="黑体" w:eastAsia="方正小标宋_GBK" w:cs="方正小标宋_GBK"/>
          <w:color w:val="000000"/>
          <w:sz w:val="72"/>
          <w:szCs w:val="72"/>
          <w:lang w:val="en-US" w:eastAsia="zh-CN"/>
        </w:rPr>
        <w:t>生育服务中心</w:t>
      </w:r>
      <w:bookmarkEnd w:id="14"/>
    </w:p>
    <w:p>
      <w:pPr>
        <w:adjustRightInd w:val="0"/>
        <w:snapToGrid w:val="0"/>
        <w:spacing w:line="360" w:lineRule="auto"/>
        <w:jc w:val="center"/>
        <w:outlineLvl w:val="0"/>
        <w:rPr>
          <w:rFonts w:ascii="方正小标宋_GBK" w:hAnsi="黑体" w:eastAsia="方正小标宋_GBK" w:cs="方正小标宋_GBK"/>
          <w:color w:val="000000"/>
          <w:sz w:val="72"/>
          <w:szCs w:val="72"/>
        </w:rPr>
      </w:pPr>
      <w:bookmarkStart w:id="15" w:name="_Toc2521"/>
      <w:r>
        <w:rPr>
          <w:rFonts w:hint="eastAsia" w:ascii="方正小标宋_GBK" w:hAnsi="黑体" w:eastAsia="方正小标宋_GBK" w:cs="方正小标宋_GBK"/>
          <w:color w:val="000000"/>
          <w:sz w:val="72"/>
          <w:szCs w:val="72"/>
        </w:rPr>
        <w:t>部门决算</w:t>
      </w:r>
      <w:bookmarkEnd w:id="7"/>
      <w:bookmarkEnd w:id="8"/>
      <w:bookmarkEnd w:id="9"/>
      <w:bookmarkEnd w:id="10"/>
      <w:bookmarkEnd w:id="11"/>
      <w:bookmarkEnd w:id="12"/>
      <w:bookmarkEnd w:id="15"/>
    </w:p>
    <w:p>
      <w:p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imes New Roman"/>
          <w:kern w:val="2"/>
          <w:sz w:val="21"/>
          <w:szCs w:val="24"/>
          <w:lang w:val="en-US" w:eastAsia="zh-CN" w:bidi="ar-SA"/>
        </w:rPr>
        <w:id w:val="147460725"/>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1"/>
            </w:rPr>
          </w:pPr>
          <w:r>
            <w:rPr>
              <w:rFonts w:hint="eastAsia" w:ascii="黑体" w:hAnsi="黑体" w:eastAsia="黑体"/>
              <w:color w:val="auto"/>
              <w:sz w:val="48"/>
              <w:szCs w:val="48"/>
              <w:highlight w:val="none"/>
            </w:rPr>
            <w:t>目录</w:t>
          </w:r>
        </w:p>
        <w:p>
          <w:pPr>
            <w:pStyle w:val="10"/>
            <w:tabs>
              <w:tab w:val="right" w:leader="dot" w:pos="8296"/>
            </w:tabs>
            <w:jc w:val="center"/>
            <w:rPr>
              <w:rFonts w:hint="eastAsia"/>
              <w:color w:val="auto"/>
              <w:highlight w:val="none"/>
            </w:rPr>
          </w:pPr>
        </w:p>
        <w:p>
          <w:pPr>
            <w:pStyle w:val="10"/>
            <w:tabs>
              <w:tab w:val="right" w:leader="dot" w:pos="8296"/>
            </w:tabs>
            <w:jc w:val="center"/>
            <w:rPr>
              <w:rFonts w:hint="eastAsia"/>
              <w:color w:val="auto"/>
              <w:highlight w:val="none"/>
            </w:rPr>
          </w:pPr>
        </w:p>
        <w:p>
          <w:pPr>
            <w:pStyle w:val="10"/>
            <w:tabs>
              <w:tab w:val="right" w:leader="dot" w:pos="8296"/>
            </w:tabs>
            <w:jc w:val="center"/>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pPr>
            <w:pStyle w:val="6"/>
          </w:pPr>
        </w:p>
        <w:p>
          <w:pPr>
            <w:pStyle w:val="10"/>
            <w:tabs>
              <w:tab w:val="right" w:leader="dot" w:pos="8306"/>
            </w:tabs>
          </w:pPr>
          <w:r>
            <w:fldChar w:fldCharType="begin"/>
          </w:r>
          <w:r>
            <w:instrText xml:space="preserve">TOC \o "1-3" \h \u </w:instrText>
          </w:r>
          <w:r>
            <w:fldChar w:fldCharType="separate"/>
          </w:r>
        </w:p>
        <w:p>
          <w:pPr>
            <w:pStyle w:val="10"/>
            <w:tabs>
              <w:tab w:val="right" w:leader="dot" w:pos="8306"/>
            </w:tabs>
          </w:pPr>
          <w:r>
            <w:fldChar w:fldCharType="begin"/>
          </w:r>
          <w:r>
            <w:instrText xml:space="preserve"> HYPERLINK \l _Toc19698 </w:instrText>
          </w:r>
          <w:r>
            <w:fldChar w:fldCharType="separate"/>
          </w:r>
          <w:r>
            <w:rPr>
              <w:rFonts w:hint="eastAsia"/>
              <w:lang w:val="en-US" w:eastAsia="zh-CN"/>
            </w:rPr>
            <w:t xml:space="preserve">第一部分 </w:t>
          </w:r>
          <w:r>
            <w:rPr>
              <w:rFonts w:hint="eastAsia" w:ascii="Times New Roman" w:hAnsi="Times New Roman" w:eastAsia="宋体" w:cs="Times New Roman"/>
              <w:kern w:val="2"/>
              <w:sz w:val="21"/>
              <w:szCs w:val="24"/>
              <w:lang w:val="en-US" w:eastAsia="zh-CN" w:bidi="ar-SA"/>
            </w:rPr>
            <w:t>部门概况</w:t>
          </w:r>
          <w:r>
            <w:tab/>
          </w:r>
          <w:r>
            <w:fldChar w:fldCharType="begin"/>
          </w:r>
          <w:r>
            <w:instrText xml:space="preserve"> PAGEREF _Toc19698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_Toc30049 </w:instrText>
          </w:r>
          <w:r>
            <w:fldChar w:fldCharType="separate"/>
          </w:r>
          <w:r>
            <w:rPr>
              <w:rFonts w:hint="eastAsia"/>
              <w:lang w:val="en-US" w:eastAsia="zh-CN"/>
            </w:rPr>
            <w:t>一、</w:t>
          </w:r>
          <w:r>
            <w:rPr>
              <w:rFonts w:hint="eastAsia" w:cs="Times New Roman"/>
              <w:kern w:val="2"/>
              <w:sz w:val="21"/>
              <w:szCs w:val="24"/>
              <w:lang w:val="en-US" w:eastAsia="zh-CN" w:bidi="ar-SA"/>
            </w:rPr>
            <w:t>基本职能及主要工作</w:t>
          </w:r>
          <w:r>
            <w:tab/>
          </w:r>
          <w:r>
            <w:fldChar w:fldCharType="begin"/>
          </w:r>
          <w:r>
            <w:instrText xml:space="preserve"> PAGEREF _Toc30049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_Toc5087 </w:instrText>
          </w:r>
          <w:r>
            <w:fldChar w:fldCharType="separate"/>
          </w:r>
          <w:r>
            <w:rPr>
              <w:rFonts w:hint="eastAsia"/>
              <w:lang w:val="en-US" w:eastAsia="zh-CN"/>
            </w:rPr>
            <w:t>二、</w:t>
          </w:r>
          <w:r>
            <w:rPr>
              <w:rFonts w:hint="eastAsia" w:cs="Times New Roman"/>
              <w:kern w:val="2"/>
              <w:sz w:val="21"/>
              <w:szCs w:val="24"/>
              <w:lang w:val="en-US" w:eastAsia="zh-CN" w:bidi="ar-SA"/>
            </w:rPr>
            <w:t>机构</w:t>
          </w:r>
          <w:r>
            <w:rPr>
              <w:rFonts w:hint="eastAsia" w:ascii="Times New Roman" w:hAnsi="Times New Roman" w:eastAsia="宋体" w:cs="Times New Roman"/>
              <w:kern w:val="2"/>
              <w:sz w:val="21"/>
              <w:szCs w:val="24"/>
              <w:lang w:val="en-US" w:eastAsia="zh-CN" w:bidi="ar-SA"/>
            </w:rPr>
            <w:t>设置</w:t>
          </w:r>
          <w:r>
            <w:tab/>
          </w:r>
          <w:r>
            <w:fldChar w:fldCharType="begin"/>
          </w:r>
          <w:r>
            <w:instrText xml:space="preserve"> PAGEREF _Toc5087 \h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_Toc4890 </w:instrText>
          </w:r>
          <w:r>
            <w:fldChar w:fldCharType="separate"/>
          </w:r>
          <w:r>
            <w:rPr>
              <w:rFonts w:hint="eastAsia"/>
              <w:lang w:val="en-US" w:eastAsia="zh-CN"/>
            </w:rPr>
            <w:t xml:space="preserve">第二部分 </w:t>
          </w:r>
          <w:r>
            <w:rPr>
              <w:rFonts w:hint="eastAsia" w:ascii="Times New Roman" w:hAnsi="Times New Roman" w:eastAsia="宋体" w:cs="Times New Roman"/>
              <w:kern w:val="2"/>
              <w:sz w:val="21"/>
              <w:szCs w:val="24"/>
              <w:lang w:val="en-US" w:eastAsia="zh-CN" w:bidi="ar-SA"/>
            </w:rPr>
            <w:t>202</w:t>
          </w: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年部门决算情况说明</w:t>
          </w:r>
          <w:r>
            <w:tab/>
          </w:r>
          <w:r>
            <w:fldChar w:fldCharType="begin"/>
          </w:r>
          <w:r>
            <w:instrText xml:space="preserve"> PAGEREF _Toc4890 \h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_Toc31521 </w:instrText>
          </w:r>
          <w:r>
            <w:fldChar w:fldCharType="separate"/>
          </w:r>
          <w:r>
            <w:rPr>
              <w:rFonts w:hint="eastAsia"/>
              <w:lang w:val="en-US" w:eastAsia="zh-CN"/>
            </w:rPr>
            <w:t xml:space="preserve">一、 </w:t>
          </w:r>
          <w:r>
            <w:rPr>
              <w:rFonts w:hint="eastAsia" w:ascii="Times New Roman" w:hAnsi="Times New Roman" w:eastAsia="宋体" w:cs="Times New Roman"/>
              <w:kern w:val="2"/>
              <w:sz w:val="21"/>
              <w:szCs w:val="24"/>
              <w:lang w:val="en-US" w:eastAsia="zh-CN" w:bidi="ar-SA"/>
            </w:rPr>
            <w:t>收入支出决算总体情况说明</w:t>
          </w:r>
          <w:r>
            <w:tab/>
          </w:r>
          <w:r>
            <w:fldChar w:fldCharType="begin"/>
          </w:r>
          <w:r>
            <w:instrText xml:space="preserve"> PAGEREF _Toc31521 \h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_Toc13781 </w:instrText>
          </w:r>
          <w:r>
            <w:fldChar w:fldCharType="separate"/>
          </w:r>
          <w:r>
            <w:rPr>
              <w:rFonts w:hint="eastAsia"/>
              <w:lang w:val="en-US" w:eastAsia="zh-CN"/>
            </w:rPr>
            <w:t>二、</w:t>
          </w:r>
          <w:r>
            <w:rPr>
              <w:rFonts w:hint="eastAsia" w:ascii="Times New Roman" w:hAnsi="Times New Roman" w:eastAsia="宋体" w:cs="Times New Roman"/>
              <w:kern w:val="2"/>
              <w:sz w:val="21"/>
              <w:szCs w:val="24"/>
              <w:lang w:val="en-US" w:eastAsia="zh-CN" w:bidi="ar-SA"/>
            </w:rPr>
            <w:t>收入决算总体情况说明</w:t>
          </w:r>
          <w:r>
            <w:tab/>
          </w:r>
          <w:r>
            <w:fldChar w:fldCharType="begin"/>
          </w:r>
          <w:r>
            <w:instrText xml:space="preserve"> PAGEREF _Toc13781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_Toc404 </w:instrText>
          </w:r>
          <w:r>
            <w:fldChar w:fldCharType="separate"/>
          </w:r>
          <w:r>
            <w:rPr>
              <w:rFonts w:hint="eastAsia"/>
              <w:lang w:val="en-US" w:eastAsia="zh-CN"/>
            </w:rPr>
            <w:t>三、</w:t>
          </w:r>
          <w:r>
            <w:rPr>
              <w:rFonts w:hint="eastAsia" w:ascii="Times New Roman" w:hAnsi="Times New Roman" w:eastAsia="宋体" w:cs="Times New Roman"/>
              <w:kern w:val="2"/>
              <w:sz w:val="21"/>
              <w:szCs w:val="24"/>
              <w:lang w:val="en-US" w:eastAsia="zh-CN" w:bidi="ar-SA"/>
            </w:rPr>
            <w:t>支出情况决算情况说明</w:t>
          </w:r>
          <w:r>
            <w:tab/>
          </w:r>
          <w:r>
            <w:fldChar w:fldCharType="begin"/>
          </w:r>
          <w:r>
            <w:instrText xml:space="preserve"> PAGEREF _Toc404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_Toc28216 </w:instrText>
          </w:r>
          <w:r>
            <w:fldChar w:fldCharType="separate"/>
          </w:r>
          <w:r>
            <w:rPr>
              <w:rFonts w:hint="eastAsia"/>
              <w:lang w:val="en-US" w:eastAsia="zh-CN"/>
            </w:rPr>
            <w:t>四、</w:t>
          </w:r>
          <w:r>
            <w:rPr>
              <w:rFonts w:hint="eastAsia" w:ascii="Times New Roman" w:hAnsi="Times New Roman" w:eastAsia="宋体" w:cs="Times New Roman"/>
              <w:kern w:val="2"/>
              <w:sz w:val="21"/>
              <w:szCs w:val="24"/>
              <w:lang w:val="en-US" w:eastAsia="zh-CN" w:bidi="ar-SA"/>
            </w:rPr>
            <w:t>财政拨款收入支出决算总体情况说明</w:t>
          </w:r>
          <w:r>
            <w:tab/>
          </w:r>
          <w:r>
            <w:fldChar w:fldCharType="begin"/>
          </w:r>
          <w:r>
            <w:instrText xml:space="preserve"> PAGEREF _Toc28216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_Toc11863 </w:instrText>
          </w:r>
          <w:r>
            <w:fldChar w:fldCharType="separate"/>
          </w:r>
          <w:r>
            <w:rPr>
              <w:rFonts w:hint="eastAsia"/>
              <w:lang w:val="en-US" w:eastAsia="zh-CN"/>
            </w:rPr>
            <w:t>五、</w:t>
          </w:r>
          <w:r>
            <w:rPr>
              <w:rFonts w:hint="eastAsia" w:ascii="黑体" w:hAnsi="黑体" w:eastAsia="黑体"/>
              <w:highlight w:val="none"/>
              <w:lang w:val="en-US" w:eastAsia="zh-CN"/>
            </w:rPr>
            <w:t xml:space="preserve"> </w:t>
          </w:r>
          <w:r>
            <w:rPr>
              <w:rFonts w:hint="eastAsia" w:ascii="Times New Roman" w:hAnsi="Times New Roman" w:eastAsia="宋体" w:cs="Times New Roman"/>
              <w:kern w:val="2"/>
              <w:sz w:val="21"/>
              <w:szCs w:val="24"/>
              <w:lang w:val="en-US" w:eastAsia="zh-CN" w:bidi="ar-SA"/>
            </w:rPr>
            <w:t>一般公共预算财政拨款支出决算情况说明</w:t>
          </w:r>
          <w:r>
            <w:tab/>
          </w:r>
          <w:r>
            <w:fldChar w:fldCharType="begin"/>
          </w:r>
          <w:r>
            <w:instrText xml:space="preserve"> PAGEREF _Toc11863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_Toc15047 </w:instrText>
          </w:r>
          <w:r>
            <w:fldChar w:fldCharType="separate"/>
          </w:r>
          <w:r>
            <w:rPr>
              <w:rFonts w:hint="eastAsia"/>
              <w:lang w:val="en-US" w:eastAsia="zh-CN"/>
            </w:rPr>
            <w:t>（一） 一般公共预算财政拨款支出决算总体情况</w:t>
          </w:r>
          <w:r>
            <w:tab/>
          </w:r>
          <w:r>
            <w:fldChar w:fldCharType="begin"/>
          </w:r>
          <w:r>
            <w:instrText xml:space="preserve"> PAGEREF _Toc15047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_Toc21052 </w:instrText>
          </w:r>
          <w:r>
            <w:fldChar w:fldCharType="separate"/>
          </w:r>
          <w:r>
            <w:rPr>
              <w:rFonts w:hint="eastAsia"/>
              <w:lang w:val="en-US" w:eastAsia="zh-CN"/>
            </w:rPr>
            <w:t>（二） 一般公共预算财政拨款支出决算结构情况</w:t>
          </w:r>
          <w:r>
            <w:tab/>
          </w:r>
          <w:r>
            <w:fldChar w:fldCharType="begin"/>
          </w:r>
          <w:r>
            <w:instrText xml:space="preserve"> PAGEREF _Toc21052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_Toc11268 </w:instrText>
          </w:r>
          <w:r>
            <w:fldChar w:fldCharType="separate"/>
          </w:r>
          <w:r>
            <w:rPr>
              <w:rFonts w:hint="eastAsia"/>
              <w:lang w:val="en-US" w:eastAsia="zh-CN"/>
            </w:rPr>
            <w:t>（三） 一般公共预算财政拨款支出决算具体情况</w:t>
          </w:r>
          <w:r>
            <w:tab/>
          </w:r>
          <w:r>
            <w:fldChar w:fldCharType="begin"/>
          </w:r>
          <w:r>
            <w:instrText xml:space="preserve"> PAGEREF _Toc11268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_Toc31462 </w:instrText>
          </w:r>
          <w:r>
            <w:fldChar w:fldCharType="separate"/>
          </w:r>
          <w:r>
            <w:rPr>
              <w:rFonts w:hint="eastAsia"/>
            </w:rPr>
            <w:t>六、</w:t>
          </w:r>
          <w:r>
            <w:rPr>
              <w:rFonts w:hint="eastAsia" w:ascii="Times New Roman" w:hAnsi="Times New Roman" w:eastAsia="宋体" w:cs="Times New Roman"/>
              <w:kern w:val="2"/>
              <w:sz w:val="21"/>
              <w:szCs w:val="24"/>
              <w:lang w:val="en-US" w:eastAsia="zh-CN" w:bidi="ar-SA"/>
            </w:rPr>
            <w:t xml:space="preserve"> 一般公共预算财政拨款基本支出决算情况说明</w:t>
          </w:r>
          <w:r>
            <w:tab/>
          </w:r>
          <w:r>
            <w:fldChar w:fldCharType="begin"/>
          </w:r>
          <w:r>
            <w:instrText xml:space="preserve"> PAGEREF _Toc31462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_Toc899 </w:instrText>
          </w:r>
          <w:r>
            <w:fldChar w:fldCharType="separate"/>
          </w:r>
          <w:r>
            <w:rPr>
              <w:rFonts w:hint="eastAsia" w:ascii="黑体" w:hAnsi="黑体" w:cstheme="minorBidi"/>
              <w:kern w:val="2"/>
              <w:szCs w:val="24"/>
              <w:highlight w:val="none"/>
              <w:lang w:val="en-US" w:eastAsia="zh-CN" w:bidi="ar-SA"/>
            </w:rPr>
            <w:t xml:space="preserve">七、 </w:t>
          </w:r>
          <w:r>
            <w:rPr>
              <w:rFonts w:hint="eastAsia" w:ascii="Times New Roman" w:hAnsi="Times New Roman" w:eastAsia="宋体" w:cs="Times New Roman"/>
              <w:kern w:val="2"/>
              <w:sz w:val="21"/>
              <w:szCs w:val="24"/>
              <w:lang w:val="en-US" w:eastAsia="zh-CN" w:bidi="ar-SA"/>
            </w:rPr>
            <w:t>一般公共预算财政拨款</w:t>
          </w:r>
          <w:r>
            <w:rPr>
              <w:rFonts w:hint="eastAsia" w:cs="Times New Roman"/>
              <w:kern w:val="2"/>
              <w:sz w:val="21"/>
              <w:szCs w:val="24"/>
              <w:lang w:val="en-US" w:eastAsia="zh-CN" w:bidi="ar-SA"/>
            </w:rPr>
            <w:t>项目</w:t>
          </w:r>
          <w:r>
            <w:rPr>
              <w:rFonts w:hint="eastAsia" w:ascii="Times New Roman" w:hAnsi="Times New Roman" w:eastAsia="宋体" w:cs="Times New Roman"/>
              <w:kern w:val="2"/>
              <w:sz w:val="21"/>
              <w:szCs w:val="24"/>
              <w:lang w:val="en-US" w:eastAsia="zh-CN" w:bidi="ar-SA"/>
            </w:rPr>
            <w:t>支出决算情况说明</w:t>
          </w:r>
          <w:r>
            <w:tab/>
          </w:r>
          <w:r>
            <w:fldChar w:fldCharType="begin"/>
          </w:r>
          <w:r>
            <w:instrText xml:space="preserve"> PAGEREF _Toc899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_Toc11284 </w:instrText>
          </w:r>
          <w:r>
            <w:fldChar w:fldCharType="separate"/>
          </w:r>
          <w:r>
            <w:rPr>
              <w:rFonts w:hint="eastAsia" w:ascii="Times New Roman" w:hAnsi="Times New Roman" w:eastAsia="宋体" w:cs="Times New Roman"/>
              <w:kern w:val="2"/>
              <w:sz w:val="21"/>
              <w:szCs w:val="24"/>
              <w:lang w:val="en-US" w:eastAsia="zh-CN" w:bidi="ar-SA"/>
            </w:rPr>
            <w:t>八、“三公”经费财政拨款支出决算情况说明</w:t>
          </w:r>
          <w:r>
            <w:tab/>
          </w:r>
          <w:r>
            <w:fldChar w:fldCharType="begin"/>
          </w:r>
          <w:r>
            <w:instrText xml:space="preserve"> PAGEREF _Toc11284 \h </w:instrText>
          </w:r>
          <w:r>
            <w:fldChar w:fldCharType="separate"/>
          </w:r>
          <w:r>
            <w:t>9</w:t>
          </w:r>
          <w:r>
            <w:fldChar w:fldCharType="end"/>
          </w:r>
          <w:r>
            <w:fldChar w:fldCharType="end"/>
          </w:r>
        </w:p>
        <w:p>
          <w:pPr>
            <w:pStyle w:val="7"/>
            <w:tabs>
              <w:tab w:val="right" w:leader="dot" w:pos="8306"/>
            </w:tabs>
          </w:pPr>
          <w:r>
            <w:fldChar w:fldCharType="begin"/>
          </w:r>
          <w:r>
            <w:instrText xml:space="preserve"> HYPERLINK \l _Toc17562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_Toc17562 \h </w:instrText>
          </w:r>
          <w:r>
            <w:fldChar w:fldCharType="separate"/>
          </w:r>
          <w:r>
            <w:t>9</w:t>
          </w:r>
          <w:r>
            <w:fldChar w:fldCharType="end"/>
          </w:r>
          <w:r>
            <w:fldChar w:fldCharType="end"/>
          </w:r>
        </w:p>
        <w:p>
          <w:pPr>
            <w:pStyle w:val="7"/>
            <w:tabs>
              <w:tab w:val="right" w:leader="dot" w:pos="8306"/>
            </w:tabs>
          </w:pPr>
          <w:r>
            <w:fldChar w:fldCharType="begin"/>
          </w:r>
          <w:r>
            <w:instrText xml:space="preserve"> HYPERLINK \l _Toc30732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_Toc30732 \h </w:instrText>
          </w:r>
          <w:r>
            <w:fldChar w:fldCharType="separate"/>
          </w:r>
          <w:r>
            <w:t>9</w:t>
          </w:r>
          <w:r>
            <w:fldChar w:fldCharType="end"/>
          </w:r>
          <w:r>
            <w:fldChar w:fldCharType="end"/>
          </w:r>
        </w:p>
        <w:p>
          <w:pPr>
            <w:pStyle w:val="11"/>
            <w:tabs>
              <w:tab w:val="right" w:leader="dot" w:pos="8306"/>
            </w:tabs>
            <w:rPr>
              <w:rFonts w:hint="eastAsia" w:eastAsia="宋体"/>
              <w:lang w:val="en-US" w:eastAsia="zh-CN"/>
            </w:rPr>
          </w:pPr>
          <w:r>
            <w:fldChar w:fldCharType="begin"/>
          </w:r>
          <w:r>
            <w:instrText xml:space="preserve"> HYPERLINK \l _Toc2968 </w:instrText>
          </w:r>
          <w:r>
            <w:fldChar w:fldCharType="separate"/>
          </w:r>
          <w:r>
            <w:rPr>
              <w:rFonts w:hint="eastAsia" w:ascii="Times New Roman" w:hAnsi="Times New Roman" w:eastAsia="宋体" w:cs="Times New Roman"/>
              <w:kern w:val="2"/>
              <w:sz w:val="21"/>
              <w:szCs w:val="24"/>
              <w:lang w:val="en-US" w:eastAsia="zh-CN" w:bidi="ar-SA"/>
            </w:rPr>
            <w:t>九、政府性基金预算支出决算情况说明</w:t>
          </w:r>
          <w:r>
            <w:tab/>
          </w:r>
          <w:r>
            <w:rPr>
              <w:rFonts w:hint="eastAsia"/>
              <w:lang w:val="en-US" w:eastAsia="zh-CN"/>
            </w:rPr>
            <w:t>1</w:t>
          </w:r>
          <w:r>
            <w:fldChar w:fldCharType="end"/>
          </w:r>
          <w:r>
            <w:rPr>
              <w:rFonts w:hint="eastAsia"/>
              <w:lang w:val="en-US" w:eastAsia="zh-CN"/>
            </w:rPr>
            <w:t>1</w:t>
          </w:r>
        </w:p>
        <w:p>
          <w:pPr>
            <w:pStyle w:val="11"/>
            <w:tabs>
              <w:tab w:val="right" w:leader="dot" w:pos="8306"/>
            </w:tabs>
            <w:rPr>
              <w:rFonts w:hint="eastAsia" w:eastAsia="宋体"/>
              <w:lang w:val="en-US" w:eastAsia="zh-CN"/>
            </w:rPr>
          </w:pPr>
          <w:r>
            <w:fldChar w:fldCharType="begin"/>
          </w:r>
          <w:r>
            <w:instrText xml:space="preserve"> HYPERLINK \l _Toc6268 </w:instrText>
          </w:r>
          <w:r>
            <w:fldChar w:fldCharType="separate"/>
          </w:r>
          <w:r>
            <w:rPr>
              <w:rFonts w:hint="eastAsia" w:ascii="Times New Roman" w:hAnsi="Times New Roman" w:eastAsia="宋体" w:cs="Times New Roman"/>
              <w:kern w:val="2"/>
              <w:sz w:val="21"/>
              <w:szCs w:val="24"/>
              <w:lang w:val="en-US" w:eastAsia="zh-CN" w:bidi="ar-SA"/>
            </w:rPr>
            <w:t>十、国有资本经营预算支出决算情况说明</w:t>
          </w:r>
          <w:r>
            <w:tab/>
          </w:r>
          <w:r>
            <w:rPr>
              <w:rFonts w:hint="eastAsia"/>
              <w:lang w:val="en-US" w:eastAsia="zh-CN"/>
            </w:rPr>
            <w:t>1</w:t>
          </w:r>
          <w:r>
            <w:fldChar w:fldCharType="end"/>
          </w:r>
          <w:r>
            <w:rPr>
              <w:rFonts w:hint="eastAsia"/>
              <w:lang w:val="en-US" w:eastAsia="zh-CN"/>
            </w:rPr>
            <w:t>1</w:t>
          </w:r>
        </w:p>
        <w:p>
          <w:pPr>
            <w:pStyle w:val="11"/>
            <w:tabs>
              <w:tab w:val="right" w:leader="dot" w:pos="8306"/>
            </w:tabs>
            <w:rPr>
              <w:rFonts w:hint="eastAsia" w:eastAsia="宋体"/>
              <w:lang w:val="en-US" w:eastAsia="zh-CN"/>
            </w:rPr>
          </w:pPr>
          <w:r>
            <w:fldChar w:fldCharType="begin"/>
          </w:r>
          <w:r>
            <w:instrText xml:space="preserve"> HYPERLINK \l _Toc26535 </w:instrText>
          </w:r>
          <w:r>
            <w:fldChar w:fldCharType="separate"/>
          </w:r>
          <w:r>
            <w:rPr>
              <w:rFonts w:hint="eastAsia" w:ascii="Times New Roman" w:hAnsi="Times New Roman" w:eastAsia="宋体" w:cs="Times New Roman"/>
              <w:kern w:val="2"/>
              <w:sz w:val="21"/>
              <w:szCs w:val="24"/>
              <w:lang w:val="en-US" w:eastAsia="zh-CN" w:bidi="ar-SA"/>
            </w:rPr>
            <w:t>十一、其他重要事项的情况说明</w:t>
          </w:r>
          <w:r>
            <w:tab/>
          </w:r>
          <w:r>
            <w:rPr>
              <w:rFonts w:hint="eastAsia"/>
              <w:lang w:val="en-US" w:eastAsia="zh-CN"/>
            </w:rPr>
            <w:t>1</w:t>
          </w:r>
          <w:r>
            <w:fldChar w:fldCharType="end"/>
          </w:r>
          <w:r>
            <w:rPr>
              <w:rFonts w:hint="eastAsia"/>
              <w:lang w:val="en-US" w:eastAsia="zh-CN"/>
            </w:rPr>
            <w:t>1</w:t>
          </w:r>
        </w:p>
        <w:p>
          <w:pPr>
            <w:pStyle w:val="10"/>
            <w:tabs>
              <w:tab w:val="right" w:leader="dot" w:pos="8306"/>
            </w:tabs>
            <w:rPr>
              <w:rFonts w:hint="eastAsia" w:eastAsia="宋体"/>
              <w:lang w:val="en-US" w:eastAsia="zh-CN"/>
            </w:rPr>
          </w:pPr>
          <w:r>
            <w:fldChar w:fldCharType="begin"/>
          </w:r>
          <w:r>
            <w:instrText xml:space="preserve"> HYPERLINK \l _Toc29520 </w:instrText>
          </w:r>
          <w:r>
            <w:fldChar w:fldCharType="separate"/>
          </w:r>
          <w:r>
            <w:rPr>
              <w:rFonts w:hint="eastAsia" w:ascii="Times New Roman" w:hAnsi="Times New Roman" w:eastAsia="宋体" w:cs="Times New Roman"/>
              <w:kern w:val="2"/>
              <w:sz w:val="21"/>
              <w:szCs w:val="24"/>
              <w:lang w:val="en-US" w:eastAsia="zh-CN" w:bidi="ar-SA"/>
            </w:rPr>
            <w:t>第三部分 名词解释</w:t>
          </w:r>
          <w:r>
            <w:tab/>
          </w:r>
          <w:r>
            <w:rPr>
              <w:rFonts w:hint="eastAsia"/>
              <w:lang w:val="en-US" w:eastAsia="zh-CN"/>
            </w:rPr>
            <w:t>1</w:t>
          </w:r>
          <w:r>
            <w:fldChar w:fldCharType="end"/>
          </w:r>
          <w:r>
            <w:rPr>
              <w:rFonts w:hint="eastAsia"/>
              <w:lang w:val="en-US" w:eastAsia="zh-CN"/>
            </w:rPr>
            <w:t>4</w:t>
          </w:r>
        </w:p>
        <w:p>
          <w:pPr>
            <w:pStyle w:val="10"/>
            <w:tabs>
              <w:tab w:val="right" w:leader="dot" w:pos="8306"/>
            </w:tabs>
            <w:rPr>
              <w:rFonts w:hint="eastAsia" w:eastAsia="宋体"/>
              <w:lang w:val="en-US" w:eastAsia="zh-CN"/>
            </w:rPr>
          </w:pPr>
          <w:r>
            <w:fldChar w:fldCharType="begin"/>
          </w:r>
          <w:r>
            <w:instrText xml:space="preserve"> HYPERLINK \l _Toc5316 </w:instrText>
          </w:r>
          <w:r>
            <w:fldChar w:fldCharType="separate"/>
          </w:r>
          <w:r>
            <w:rPr>
              <w:rFonts w:hint="eastAsia" w:ascii="Times New Roman" w:hAnsi="Times New Roman" w:eastAsia="宋体" w:cs="Times New Roman"/>
              <w:kern w:val="2"/>
              <w:sz w:val="21"/>
              <w:szCs w:val="24"/>
              <w:lang w:val="en-US" w:eastAsia="zh-CN" w:bidi="ar-SA"/>
            </w:rPr>
            <w:t>第四部分 附件</w:t>
          </w:r>
          <w:r>
            <w:tab/>
          </w:r>
          <w:r>
            <w:rPr>
              <w:rFonts w:hint="eastAsia"/>
              <w:lang w:val="en-US" w:eastAsia="zh-CN"/>
            </w:rPr>
            <w:t>1</w:t>
          </w:r>
          <w:r>
            <w:fldChar w:fldCharType="end"/>
          </w:r>
          <w:r>
            <w:rPr>
              <w:rFonts w:hint="eastAsia"/>
              <w:lang w:val="en-US" w:eastAsia="zh-CN"/>
            </w:rPr>
            <w:t>6</w:t>
          </w:r>
        </w:p>
        <w:p>
          <w:pPr>
            <w:pStyle w:val="10"/>
            <w:tabs>
              <w:tab w:val="right" w:leader="dot" w:pos="8306"/>
            </w:tabs>
            <w:rPr>
              <w:rFonts w:hint="eastAsia" w:eastAsia="宋体"/>
              <w:lang w:val="en-US" w:eastAsia="zh-CN"/>
            </w:rPr>
          </w:pPr>
          <w:r>
            <w:fldChar w:fldCharType="begin"/>
          </w:r>
          <w:r>
            <w:instrText xml:space="preserve"> HYPERLINK \l _Toc4942 </w:instrText>
          </w:r>
          <w:r>
            <w:fldChar w:fldCharType="separate"/>
          </w:r>
          <w:r>
            <w:rPr>
              <w:rFonts w:hint="eastAsia" w:ascii="仿宋_GB2312" w:hAnsi="宋体" w:eastAsia="仿宋_GB2312"/>
              <w:bCs/>
              <w:szCs w:val="40"/>
              <w:lang w:val="en-US" w:eastAsia="zh-CN"/>
            </w:rPr>
            <w:t>附件1</w:t>
          </w:r>
          <w:r>
            <w:tab/>
          </w:r>
          <w:r>
            <w:rPr>
              <w:rFonts w:hint="eastAsia"/>
              <w:lang w:val="en-US" w:eastAsia="zh-CN"/>
            </w:rPr>
            <w:t>1</w:t>
          </w:r>
          <w:r>
            <w:fldChar w:fldCharType="end"/>
          </w:r>
          <w:r>
            <w:rPr>
              <w:rFonts w:hint="eastAsia"/>
              <w:lang w:val="en-US" w:eastAsia="zh-CN"/>
            </w:rPr>
            <w:t>6</w:t>
          </w:r>
        </w:p>
        <w:p>
          <w:pPr>
            <w:pStyle w:val="10"/>
            <w:tabs>
              <w:tab w:val="right" w:leader="dot" w:pos="8306"/>
            </w:tabs>
            <w:rPr>
              <w:rFonts w:hint="eastAsia" w:eastAsia="宋体"/>
              <w:lang w:val="en-US" w:eastAsia="zh-CN"/>
            </w:rPr>
          </w:pPr>
          <w:r>
            <w:fldChar w:fldCharType="begin"/>
          </w:r>
          <w:r>
            <w:instrText xml:space="preserve"> HYPERLINK \l _Toc7794 </w:instrText>
          </w:r>
          <w:r>
            <w:fldChar w:fldCharType="separate"/>
          </w:r>
          <w:r>
            <w:rPr>
              <w:rFonts w:hint="eastAsia" w:ascii="仿宋_GB2312" w:hAnsi="宋体" w:eastAsia="仿宋_GB2312"/>
              <w:bCs/>
              <w:szCs w:val="40"/>
              <w:lang w:val="en-US" w:eastAsia="zh-CN"/>
            </w:rPr>
            <w:t>附件2</w:t>
          </w:r>
          <w:r>
            <w:tab/>
          </w:r>
          <w:r>
            <w:rPr>
              <w:rFonts w:hint="eastAsia"/>
              <w:lang w:val="en-US" w:eastAsia="zh-CN"/>
            </w:rPr>
            <w:t>2</w:t>
          </w:r>
          <w:r>
            <w:fldChar w:fldCharType="end"/>
          </w:r>
          <w:r>
            <w:rPr>
              <w:rFonts w:hint="eastAsia"/>
              <w:lang w:val="en-US" w:eastAsia="zh-CN"/>
            </w:rPr>
            <w:t>0</w:t>
          </w:r>
        </w:p>
        <w:p>
          <w:pPr>
            <w:pStyle w:val="10"/>
            <w:tabs>
              <w:tab w:val="right" w:leader="dot" w:pos="8306"/>
            </w:tabs>
            <w:rPr>
              <w:rFonts w:hint="eastAsia" w:eastAsia="宋体"/>
              <w:lang w:val="en-US" w:eastAsia="zh-CN"/>
            </w:rPr>
          </w:pPr>
          <w:r>
            <w:fldChar w:fldCharType="begin"/>
          </w:r>
          <w:r>
            <w:instrText xml:space="preserve"> HYPERLINK \l _Toc6771 </w:instrText>
          </w:r>
          <w:r>
            <w:fldChar w:fldCharType="separate"/>
          </w:r>
          <w:r>
            <w:rPr>
              <w:rFonts w:hint="eastAsia" w:ascii="仿宋_GB2312" w:hAnsi="宋体" w:eastAsia="仿宋_GB2312"/>
              <w:bCs/>
              <w:szCs w:val="40"/>
              <w:lang w:val="en-US" w:eastAsia="zh-CN"/>
            </w:rPr>
            <w:t>附件3</w:t>
          </w:r>
          <w:r>
            <w:tab/>
          </w:r>
          <w:r>
            <w:rPr>
              <w:rFonts w:hint="eastAsia"/>
              <w:lang w:val="en-US" w:eastAsia="zh-CN"/>
            </w:rPr>
            <w:t>2</w:t>
          </w:r>
          <w:r>
            <w:fldChar w:fldCharType="end"/>
          </w:r>
          <w:r>
            <w:rPr>
              <w:rFonts w:hint="eastAsia"/>
              <w:lang w:val="en-US" w:eastAsia="zh-CN"/>
            </w:rPr>
            <w:t>1</w:t>
          </w:r>
        </w:p>
        <w:p>
          <w:pPr>
            <w:pStyle w:val="10"/>
            <w:tabs>
              <w:tab w:val="right" w:leader="dot" w:pos="8306"/>
            </w:tabs>
            <w:rPr>
              <w:rFonts w:hint="eastAsia" w:eastAsia="宋体"/>
              <w:lang w:val="en-US" w:eastAsia="zh-CN"/>
            </w:rPr>
          </w:pPr>
          <w:r>
            <w:fldChar w:fldCharType="begin"/>
          </w:r>
          <w:r>
            <w:instrText xml:space="preserve"> HYPERLINK \l _Toc30997 </w:instrText>
          </w:r>
          <w:r>
            <w:fldChar w:fldCharType="separate"/>
          </w:r>
          <w:r>
            <w:rPr>
              <w:rFonts w:hint="eastAsia" w:ascii="Times New Roman" w:hAnsi="Times New Roman" w:eastAsia="宋体" w:cs="Times New Roman"/>
              <w:kern w:val="2"/>
              <w:sz w:val="21"/>
              <w:szCs w:val="24"/>
              <w:lang w:val="en-US" w:eastAsia="zh-CN" w:bidi="ar-SA"/>
            </w:rPr>
            <w:t>第五部分 附表</w:t>
          </w:r>
          <w:r>
            <w:tab/>
          </w:r>
          <w:r>
            <w:rPr>
              <w:rFonts w:hint="eastAsia"/>
              <w:lang w:val="en-US" w:eastAsia="zh-CN"/>
            </w:rPr>
            <w:t>2</w:t>
          </w:r>
          <w:r>
            <w:fldChar w:fldCharType="end"/>
          </w:r>
          <w:r>
            <w:rPr>
              <w:rFonts w:hint="eastAsia"/>
              <w:lang w:val="en-US" w:eastAsia="zh-CN"/>
            </w:rPr>
            <w:t>3</w:t>
          </w:r>
        </w:p>
        <w:p>
          <w:pPr>
            <w:pStyle w:val="11"/>
            <w:tabs>
              <w:tab w:val="right" w:leader="dot" w:pos="8306"/>
            </w:tabs>
            <w:rPr>
              <w:rFonts w:hint="eastAsia" w:eastAsia="宋体"/>
              <w:lang w:val="en-US" w:eastAsia="zh-CN"/>
            </w:rPr>
          </w:pPr>
          <w:r>
            <w:fldChar w:fldCharType="begin"/>
          </w:r>
          <w:r>
            <w:instrText xml:space="preserve"> HYPERLINK \l _Toc9326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_Toc20249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_Toc420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_Toc26702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_Toc14242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_Toc1309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_Toc23027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_Toc5260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w:t>
          </w:r>
          <w:r>
            <w:rPr>
              <w:rFonts w:hint="eastAsia" w:ascii="仿宋" w:hAnsi="仿宋" w:eastAsia="仿宋"/>
              <w:bCs w:val="0"/>
              <w:highlight w:val="none"/>
              <w:lang w:val="en-US" w:eastAsia="zh-CN"/>
            </w:rPr>
            <w:t>明细</w:t>
          </w:r>
          <w:r>
            <w:rPr>
              <w:rFonts w:hint="eastAsia" w:ascii="仿宋" w:hAnsi="仿宋" w:eastAsia="仿宋"/>
              <w:bCs w:val="0"/>
              <w:highlight w:val="none"/>
            </w:rPr>
            <w:t>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_Toc9892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_Toc8993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_Toc27656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_Toc4649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rPr>
              <w:rFonts w:hint="eastAsia"/>
              <w:lang w:val="en-US" w:eastAsia="zh-CN"/>
            </w:rPr>
            <w:t>2</w:t>
          </w:r>
          <w:r>
            <w:fldChar w:fldCharType="end"/>
          </w:r>
          <w:r>
            <w:rPr>
              <w:rFonts w:hint="eastAsia"/>
              <w:lang w:val="en-US" w:eastAsia="zh-CN"/>
            </w:rPr>
            <w:t>4</w:t>
          </w:r>
        </w:p>
        <w:p>
          <w:pPr>
            <w:pStyle w:val="11"/>
            <w:tabs>
              <w:tab w:val="right" w:leader="dot" w:pos="8306"/>
            </w:tabs>
            <w:rPr>
              <w:rFonts w:hint="eastAsia" w:eastAsia="宋体"/>
              <w:lang w:val="en-US" w:eastAsia="zh-CN"/>
            </w:rPr>
          </w:pPr>
          <w:r>
            <w:fldChar w:fldCharType="begin"/>
          </w:r>
          <w:r>
            <w:instrText xml:space="preserve"> HYPERLINK \l _Toc10614 </w:instrText>
          </w:r>
          <w:r>
            <w:fldChar w:fldCharType="separate"/>
          </w:r>
          <w:r>
            <w:rPr>
              <w:rFonts w:hint="eastAsia" w:ascii="仿宋" w:hAnsi="仿宋" w:eastAsia="仿宋"/>
              <w:bCs w:val="0"/>
              <w:highlight w:val="none"/>
            </w:rPr>
            <w:t>十三、</w:t>
          </w:r>
          <w:r>
            <w:rPr>
              <w:rFonts w:hint="eastAsia" w:ascii="仿宋" w:hAnsi="仿宋" w:eastAsia="仿宋"/>
              <w:highlight w:val="none"/>
              <w:lang w:val="en-US" w:eastAsia="zh-CN"/>
            </w:rPr>
            <w:t>财政拨款“三公”经费支出决算表</w:t>
          </w:r>
          <w:r>
            <w:tab/>
          </w:r>
          <w:r>
            <w:rPr>
              <w:rFonts w:hint="eastAsia"/>
              <w:lang w:val="en-US" w:eastAsia="zh-CN"/>
            </w:rPr>
            <w:t>2</w:t>
          </w:r>
          <w:r>
            <w:fldChar w:fldCharType="end"/>
          </w:r>
          <w:r>
            <w:rPr>
              <w:rFonts w:hint="eastAsia"/>
              <w:lang w:val="en-US" w:eastAsia="zh-CN"/>
            </w:rPr>
            <w:t>4</w:t>
          </w:r>
        </w:p>
        <w:p>
          <w:pPr>
            <w:pStyle w:val="6"/>
            <w:sectPr>
              <w:pgSz w:w="11906" w:h="16838"/>
              <w:pgMar w:top="1440" w:right="1800" w:bottom="1440" w:left="1800" w:header="851" w:footer="992" w:gutter="0"/>
              <w:pgNumType w:fmt="decimal"/>
              <w:cols w:space="425" w:num="1"/>
              <w:docGrid w:type="lines" w:linePitch="312" w:charSpace="0"/>
            </w:sectPr>
          </w:pPr>
          <w:r>
            <w:fldChar w:fldCharType="end"/>
          </w:r>
        </w:p>
      </w:sdtContent>
    </w:sdt>
    <w:p/>
    <w:p>
      <w:pPr>
        <w:pStyle w:val="3"/>
        <w:numPr>
          <w:ilvl w:val="0"/>
          <w:numId w:val="1"/>
        </w:numPr>
        <w:bidi w:val="0"/>
        <w:jc w:val="center"/>
        <w:rPr>
          <w:rFonts w:hint="default"/>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16" w:name="_Toc19698"/>
    </w:p>
    <w:p>
      <w:pPr>
        <w:pStyle w:val="3"/>
        <w:numPr>
          <w:ilvl w:val="0"/>
          <w:numId w:val="1"/>
        </w:numPr>
        <w:bidi w:val="0"/>
        <w:jc w:val="center"/>
        <w:rPr>
          <w:rFonts w:hint="default"/>
          <w:lang w:val="en-US" w:eastAsia="zh-CN"/>
        </w:rPr>
      </w:pPr>
      <w:r>
        <w:rPr>
          <w:rFonts w:hint="eastAsia"/>
          <w:lang w:val="en-US" w:eastAsia="zh-CN"/>
        </w:rPr>
        <w:t>部门概况</w:t>
      </w:r>
      <w:bookmarkEnd w:id="16"/>
    </w:p>
    <w:p>
      <w:pPr>
        <w:pStyle w:val="4"/>
        <w:numPr>
          <w:ilvl w:val="0"/>
          <w:numId w:val="2"/>
        </w:numPr>
        <w:bidi w:val="0"/>
        <w:rPr>
          <w:rFonts w:hint="default"/>
          <w:lang w:val="en-US" w:eastAsia="zh-CN"/>
        </w:rPr>
      </w:pPr>
      <w:bookmarkStart w:id="17" w:name="_Toc30049"/>
      <w:r>
        <w:rPr>
          <w:rFonts w:hint="eastAsia"/>
          <w:lang w:val="en-US" w:eastAsia="zh-CN"/>
        </w:rPr>
        <w:t>基本职能及主要工作</w:t>
      </w:r>
      <w:bookmarkEnd w:id="17"/>
    </w:p>
    <w:p>
      <w:pPr>
        <w:pStyle w:val="5"/>
        <w:numPr>
          <w:ilvl w:val="0"/>
          <w:numId w:val="3"/>
        </w:numPr>
        <w:bidi w:val="0"/>
        <w:rPr>
          <w:rFonts w:hint="eastAsia"/>
          <w:lang w:val="en-US" w:eastAsia="zh-CN"/>
        </w:rPr>
      </w:pPr>
      <w:bookmarkStart w:id="18" w:name="_Toc7828"/>
      <w:r>
        <w:rPr>
          <w:rFonts w:hint="eastAsia"/>
          <w:lang w:val="en-US" w:eastAsia="zh-CN"/>
        </w:rPr>
        <w:t>主要职能</w:t>
      </w:r>
      <w:bookmarkEnd w:id="18"/>
    </w:p>
    <w:p>
      <w:pPr>
        <w:keepNext w:val="0"/>
        <w:keepLines w:val="0"/>
        <w:widowControl/>
        <w:suppressLineNumbers w:val="0"/>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1.为区内妇女儿童提供妇女保健、儿童保健、围产保健等妇幼保健服务及妇女儿童常见病防治、助产技术服务、出生缺陷综合防治服务等医疗保健服务。</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2.承担计划生育宣传教育、技术服务、优生指导、避孕药具发放、信息咨询、随访服务、生殖保健、人员培训等任务。</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3.开展婚前医学检查、孕前优生健康检查等工作。</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4.受区卫生计生局委托承担全区妇幼保健和计划生育技术服务业务管理、项目管理、培训和技术指导工作，承担上级交办的其他工作任务。</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5.负责本辖区孕产妇死亡、婴儿及5岁以下儿童死亡、出生缺陷监测、妇幼卫生服务及技术管理等信息的收集、统计、分析、质量控制和汇总上报。</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6.负责开展孕前优生优育健康检查和孕期出生缺陷综合防控工作。</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7.负责提供妇女儿童的基本医疗服务，包括妇女儿童常见病、多发病的诊治，孕产妇分娩的助产技术等服务。</w:t>
      </w:r>
    </w:p>
    <w:p>
      <w:pPr>
        <w:keepNext w:val="0"/>
        <w:keepLines w:val="0"/>
        <w:widowControl/>
        <w:suppressLineNumbers w:val="0"/>
        <w:ind w:firstLine="640" w:firstLineChars="200"/>
        <w:jc w:val="both"/>
        <w:rPr>
          <w:rFonts w:hint="eastAsia" w:ascii="方正黑体_GBK" w:hAnsi="Times New Roman" w:eastAsia="方正黑体_GBK" w:cs="方正黑体_GBK"/>
          <w:kern w:val="2"/>
          <w:sz w:val="33"/>
          <w:szCs w:val="33"/>
          <w:lang w:val="en-US" w:eastAsia="zh-CN" w:bidi="ar-SA"/>
        </w:rPr>
      </w:pPr>
      <w:r>
        <w:rPr>
          <w:rFonts w:hint="eastAsia" w:ascii="仿宋" w:hAnsi="仿宋" w:eastAsia="仿宋" w:cs="仿宋"/>
          <w:kern w:val="2"/>
          <w:sz w:val="32"/>
          <w:szCs w:val="32"/>
          <w:lang w:val="en-US" w:eastAsia="zh-CN" w:bidi="ar-SA"/>
        </w:rPr>
        <w:t>8.负责全区妇幼保健计划生育技术服务的信息收集、统计、整理、分析、质量控制和汇总上报。</w:t>
      </w:r>
    </w:p>
    <w:p>
      <w:pPr>
        <w:pStyle w:val="5"/>
        <w:bidi w:val="0"/>
        <w:rPr>
          <w:rFonts w:hint="default"/>
          <w:lang w:val="en-US" w:eastAsia="zh-CN"/>
        </w:rPr>
      </w:pPr>
      <w:bookmarkStart w:id="19" w:name="_Toc5222"/>
      <w:r>
        <w:rPr>
          <w:rFonts w:hint="eastAsia"/>
          <w:lang w:val="en-US" w:eastAsia="zh-CN"/>
        </w:rPr>
        <w:t>（二）</w:t>
      </w:r>
      <w:bookmarkEnd w:id="19"/>
      <w:r>
        <w:rPr>
          <w:rFonts w:hint="eastAsia"/>
          <w:lang w:val="en-US" w:eastAsia="zh-CN"/>
        </w:rPr>
        <w:t>2022年重点工作完成情况</w:t>
      </w:r>
    </w:p>
    <w:p>
      <w:pPr>
        <w:spacing w:line="60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进行了妇女保健、儿童保健、妇女病普查、遗传病筛查、产前诊断与接生、高危产妇筛查、监测与监护高危新生儿筛查、治疗与监护儿童疾病防治、妇幼卫生监测与信息管理、妇幼卫生保健人员培训、妇幼保健科学研究、计划生育技术服务、妇幼保健咨询等服务，积极服务群众，收获较多好评。</w:t>
      </w:r>
    </w:p>
    <w:p>
      <w:pPr>
        <w:rPr>
          <w:rFonts w:hint="eastAsia"/>
          <w:lang w:val="en-US" w:eastAsia="zh-CN"/>
        </w:rPr>
      </w:pPr>
    </w:p>
    <w:p>
      <w:pPr>
        <w:pStyle w:val="4"/>
        <w:numPr>
          <w:ilvl w:val="0"/>
          <w:numId w:val="0"/>
        </w:numPr>
        <w:bidi w:val="0"/>
        <w:rPr>
          <w:rFonts w:hint="default"/>
          <w:lang w:val="en-US" w:eastAsia="zh-CN"/>
        </w:rPr>
      </w:pPr>
      <w:bookmarkStart w:id="20" w:name="_Toc5087"/>
      <w:r>
        <w:rPr>
          <w:rFonts w:hint="eastAsia"/>
          <w:lang w:val="en-US" w:eastAsia="zh-CN"/>
        </w:rPr>
        <w:t>二、机构设置</w:t>
      </w:r>
      <w:bookmarkEnd w:id="20"/>
    </w:p>
    <w:p>
      <w:pPr>
        <w:pStyle w:val="2"/>
        <w:adjustRightInd w:val="0"/>
        <w:snapToGrid w:val="0"/>
        <w:spacing w:line="600" w:lineRule="exact"/>
        <w:ind w:firstLine="672" w:firstLineChars="210"/>
        <w:rPr>
          <w:rFonts w:hint="eastAsia" w:ascii="仿宋" w:hAnsi="仿宋" w:eastAsia="仿宋" w:cs="仿宋"/>
          <w:color w:val="FF0000"/>
          <w:kern w:val="2"/>
          <w:sz w:val="32"/>
          <w:szCs w:val="32"/>
          <w:lang w:val="en-US" w:eastAsia="zh-CN" w:bidi="ar-SA"/>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广安区妇幼保健计划生育服务中心下属二级单位1个，其中其他事业单位1个。</w:t>
      </w:r>
    </w:p>
    <w:p>
      <w:pPr>
        <w:ind w:left="638" w:leftChars="304" w:firstLine="0" w:firstLineChars="0"/>
        <w:rPr>
          <w:rFonts w:hint="default"/>
          <w:lang w:val="en-US" w:eastAsia="zh-CN"/>
        </w:rPr>
      </w:pPr>
      <w:r>
        <w:rPr>
          <w:rFonts w:hint="eastAsia" w:ascii="仿宋" w:hAnsi="仿宋" w:eastAsia="仿宋" w:cs="仿宋"/>
          <w:kern w:val="2"/>
          <w:sz w:val="32"/>
          <w:szCs w:val="32"/>
          <w:lang w:val="en-US" w:eastAsia="zh-CN" w:bidi="ar-SA"/>
        </w:rPr>
        <w:t>纳入2022年度部门决算编制范围的二级预算单位包括：广安区妇幼保健计划生育服务中心</w:t>
      </w:r>
    </w:p>
    <w:p>
      <w:pPr>
        <w:rPr>
          <w:rFonts w:hint="eastAsia"/>
          <w:lang w:val="en-US" w:eastAsia="zh-CN"/>
        </w:rPr>
      </w:pPr>
    </w:p>
    <w:p>
      <w:pPr>
        <w:rPr>
          <w:rFonts w:hint="eastAsia"/>
          <w:lang w:val="en-US" w:eastAsia="zh-CN"/>
        </w:rPr>
      </w:pPr>
    </w:p>
    <w:p>
      <w:pPr>
        <w:rPr>
          <w:rFonts w:hint="eastAsia"/>
          <w:lang w:val="en-US" w:eastAsia="zh-CN"/>
        </w:rPr>
      </w:pPr>
    </w:p>
    <w:p>
      <w:pPr>
        <w:pStyle w:val="3"/>
        <w:numPr>
          <w:ilvl w:val="0"/>
          <w:numId w:val="1"/>
        </w:numPr>
        <w:bidi w:val="0"/>
        <w:ind w:left="0" w:leftChars="0" w:firstLine="0" w:firstLineChars="0"/>
        <w:jc w:val="center"/>
        <w:rPr>
          <w:rFonts w:hint="eastAsia"/>
          <w:lang w:val="en-US" w:eastAsia="zh-CN"/>
        </w:rPr>
      </w:pPr>
      <w:bookmarkStart w:id="21" w:name="_Toc4890"/>
      <w:r>
        <w:rPr>
          <w:rFonts w:hint="eastAsia"/>
          <w:lang w:val="en-US" w:eastAsia="zh-CN"/>
        </w:rPr>
        <w:t>2022年部门决算情况说明</w:t>
      </w:r>
      <w:bookmarkEnd w:id="21"/>
    </w:p>
    <w:p>
      <w:pPr>
        <w:pStyle w:val="4"/>
        <w:numPr>
          <w:ilvl w:val="0"/>
          <w:numId w:val="4"/>
        </w:numPr>
        <w:bidi w:val="0"/>
        <w:rPr>
          <w:rFonts w:hint="eastAsia"/>
          <w:lang w:val="en-US" w:eastAsia="zh-CN"/>
        </w:rPr>
      </w:pPr>
      <w:bookmarkStart w:id="22" w:name="_Toc31521"/>
      <w:r>
        <w:rPr>
          <w:rFonts w:hint="eastAsia"/>
          <w:lang w:val="en-US" w:eastAsia="zh-CN"/>
        </w:rPr>
        <w:t>收入支出决算总体情况说明</w:t>
      </w:r>
      <w:bookmarkEnd w:id="22"/>
    </w:p>
    <w:p>
      <w:pPr>
        <w:ind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2022年广安市广安区妇幼保健计划生育服务中心本年收入合计6196.96万元，其中：财政拨款收入2162.49万元，占35%，较去年增长34%，下降原因是财政经费增加；事业收入3762.21万元，占61%，较去年增长12%，增长原因是单位业务量增加，业务收入增加。</w:t>
      </w:r>
    </w:p>
    <w:p>
      <w:pPr>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2022年广安市广安区妇幼保健计划生育服务中心本年支出合计6266.1万元，其中：社会保障和就业支出279.25万元，占4%，较去年增长20%，增长原因是人员经费增加；卫生健康支出5847.88万元，占93%，较去年增长13%，增长原因是项目经费增加；住房保障支出75.85万元，占1%，较去年增长12%，增长原因是住房保障经费增加。</w:t>
      </w:r>
    </w:p>
    <w:p>
      <w:pPr>
        <w:numPr>
          <w:ilvl w:val="0"/>
          <w:numId w:val="0"/>
        </w:numPr>
        <w:ind w:firstLine="420" w:firstLineChars="200"/>
        <w:rPr>
          <w:rFonts w:hint="eastAsia" w:ascii="方正黑体_GBK" w:hAnsi="Times New Roman" w:eastAsia="方正黑体_GBK" w:cs="方正黑体_GBK"/>
          <w:color w:val="000000"/>
          <w:kern w:val="2"/>
          <w:sz w:val="33"/>
          <w:szCs w:val="33"/>
          <w:lang w:val="en-US" w:eastAsia="zh-CN" w:bidi="ar-SA"/>
        </w:rPr>
      </w:pPr>
      <w:r>
        <w:drawing>
          <wp:inline distT="0" distB="0" distL="114300" distR="114300">
            <wp:extent cx="4264660" cy="1828800"/>
            <wp:effectExtent l="4445" t="5080" r="17145" b="1397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0"/>
        </w:numPr>
        <w:ind w:firstLine="660" w:firstLineChars="200"/>
        <w:rPr>
          <w:rFonts w:hint="eastAsia" w:ascii="方正黑体_GBK" w:hAnsi="Times New Roman" w:eastAsia="方正黑体_GBK" w:cs="方正黑体_GBK"/>
          <w:color w:val="000000"/>
          <w:kern w:val="2"/>
          <w:sz w:val="33"/>
          <w:szCs w:val="33"/>
          <w:lang w:val="en-US" w:eastAsia="zh-CN" w:bidi="ar-SA"/>
        </w:rPr>
      </w:pPr>
    </w:p>
    <w:p>
      <w:pPr>
        <w:pStyle w:val="4"/>
        <w:bidi w:val="0"/>
        <w:rPr>
          <w:rFonts w:hint="default"/>
          <w:lang w:val="en-US" w:eastAsia="zh-CN"/>
        </w:rPr>
      </w:pPr>
      <w:bookmarkStart w:id="23" w:name="_Toc13781"/>
      <w:r>
        <w:rPr>
          <w:rFonts w:hint="eastAsia"/>
          <w:lang w:val="en-US" w:eastAsia="zh-CN"/>
        </w:rPr>
        <w:t>二、收入决算总体情况说明</w:t>
      </w:r>
      <w:bookmarkEnd w:id="23"/>
    </w:p>
    <w:p>
      <w:pPr>
        <w:numPr>
          <w:ilvl w:val="0"/>
          <w:numId w:val="0"/>
        </w:numPr>
        <w:ind w:firstLine="640" w:firstLineChars="200"/>
        <w:rPr>
          <w:rFonts w:hint="eastAsia" w:ascii="方正黑体_GBK" w:hAnsi="Times New Roman" w:eastAsia="方正黑体_GBK" w:cs="方正黑体_GBK"/>
          <w:color w:val="000000"/>
          <w:kern w:val="2"/>
          <w:sz w:val="33"/>
          <w:szCs w:val="33"/>
          <w:lang w:val="en-US" w:eastAsia="zh-CN" w:bidi="ar-SA"/>
        </w:rPr>
      </w:pPr>
      <w:r>
        <w:rPr>
          <w:rFonts w:hint="eastAsia" w:ascii="仿宋" w:hAnsi="仿宋" w:eastAsia="仿宋" w:cs="仿宋"/>
          <w:color w:val="000000"/>
          <w:kern w:val="2"/>
          <w:sz w:val="32"/>
          <w:szCs w:val="32"/>
          <w:lang w:val="en-US" w:eastAsia="zh-CN" w:bidi="ar-SA"/>
        </w:rPr>
        <w:t>2022年广安市广安区妇幼保健计划生育服务中心本年收入合计6196.96万元，其中：财政拨款收入2162.49万元，占35%，较去年上升34%，下降原因是财政经费增加；事业收入万元3762.21，占61%，较去年增长12%，增长原因是单位业务量增加，业务收入增加。</w:t>
      </w:r>
    </w:p>
    <w:p>
      <w:pPr>
        <w:numPr>
          <w:ilvl w:val="0"/>
          <w:numId w:val="0"/>
        </w:numPr>
        <w:ind w:firstLine="420" w:firstLineChars="200"/>
        <w:rPr>
          <w:rFonts w:hint="default"/>
          <w:lang w:val="en-US" w:eastAsia="zh-CN"/>
        </w:rPr>
      </w:pPr>
      <w:r>
        <w:drawing>
          <wp:inline distT="0" distB="0" distL="114300" distR="114300">
            <wp:extent cx="4217035" cy="2863850"/>
            <wp:effectExtent l="4445" t="4445" r="7620" b="8255"/>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spacing w:line="600" w:lineRule="exact"/>
        <w:jc w:val="center"/>
        <w:rPr>
          <w:rFonts w:hint="default"/>
          <w:lang w:val="en-US" w:eastAsia="zh-CN"/>
        </w:rPr>
        <w:sectPr>
          <w:type w:val="continuous"/>
          <w:pgSz w:w="11906" w:h="16838"/>
          <w:pgMar w:top="1440" w:right="1800" w:bottom="1440" w:left="1800" w:header="851" w:footer="992" w:gutter="0"/>
          <w:pgNumType w:fmt="decimal"/>
          <w:cols w:space="425" w:num="1"/>
          <w:docGrid w:type="lines" w:linePitch="312" w:charSpace="0"/>
        </w:sectPr>
      </w:pPr>
      <w:r>
        <w:rPr>
          <w:rFonts w:hint="eastAsia" w:ascii="方正黑体_GBK" w:eastAsia="方正黑体_GBK" w:cs="方正黑体_GBK"/>
          <w:color w:val="000000"/>
          <w:kern w:val="2"/>
          <w:sz w:val="33"/>
          <w:szCs w:val="33"/>
          <w:lang w:val="en-US" w:eastAsia="zh-CN" w:bidi="ar-SA"/>
        </w:rPr>
        <w:t>（图1：收入决算结构图）饼状图</w:t>
      </w:r>
    </w:p>
    <w:p>
      <w:pPr>
        <w:numPr>
          <w:ilvl w:val="0"/>
          <w:numId w:val="0"/>
        </w:numPr>
        <w:ind w:leftChars="0"/>
      </w:pPr>
      <w:r>
        <w:drawing>
          <wp:inline distT="0" distB="0" distL="114300" distR="114300">
            <wp:extent cx="4826000" cy="2743200"/>
            <wp:effectExtent l="4445" t="4445" r="8255" b="14605"/>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spacing w:line="600" w:lineRule="exact"/>
        <w:jc w:val="center"/>
        <w:rPr>
          <w:rFonts w:hint="default" w:ascii="方正黑体_GBK" w:hAnsi="Times New Roman" w:eastAsia="方正黑体_GBK" w:cs="方正黑体_GBK"/>
          <w:color w:val="FF0000"/>
          <w:kern w:val="2"/>
          <w:sz w:val="33"/>
          <w:szCs w:val="33"/>
          <w:lang w:val="en-US" w:eastAsia="zh-CN" w:bidi="ar-SA"/>
        </w:rPr>
      </w:pPr>
      <w:r>
        <w:rPr>
          <w:rFonts w:hint="eastAsia" w:ascii="方正黑体_GBK" w:eastAsia="方正黑体_GBK" w:cs="方正黑体_GBK"/>
          <w:color w:val="000000"/>
          <w:kern w:val="2"/>
          <w:sz w:val="33"/>
          <w:szCs w:val="33"/>
          <w:lang w:val="en-US" w:eastAsia="zh-CN" w:bidi="ar-SA"/>
        </w:rPr>
        <w:t>（图2：收入决算变动情况图）（柱状图）</w:t>
      </w:r>
    </w:p>
    <w:p>
      <w:pPr>
        <w:pStyle w:val="4"/>
        <w:numPr>
          <w:ilvl w:val="0"/>
          <w:numId w:val="0"/>
        </w:numPr>
        <w:bidi w:val="0"/>
        <w:ind w:leftChars="0"/>
        <w:rPr>
          <w:rFonts w:hint="eastAsia"/>
          <w:lang w:val="en-US" w:eastAsia="zh-CN"/>
        </w:rPr>
      </w:pPr>
      <w:bookmarkStart w:id="24" w:name="_Toc404"/>
      <w:r>
        <w:rPr>
          <w:rFonts w:hint="eastAsia"/>
          <w:lang w:val="en-US" w:eastAsia="zh-CN"/>
        </w:rPr>
        <w:t>三、支出情况决算情况说明</w:t>
      </w:r>
      <w:bookmarkEnd w:id="24"/>
    </w:p>
    <w:p>
      <w:pPr>
        <w:numPr>
          <w:ilvl w:val="0"/>
          <w:numId w:val="0"/>
        </w:numPr>
        <w:ind w:leftChars="0" w:firstLine="640" w:firstLineChars="200"/>
        <w:rPr>
          <w:rFonts w:hint="eastAsia" w:ascii="方正黑体_GBK" w:hAnsi="Times New Roman" w:eastAsia="方正黑体_GBK" w:cs="方正黑体_GBK"/>
          <w:color w:val="000000"/>
          <w:kern w:val="2"/>
          <w:sz w:val="33"/>
          <w:szCs w:val="33"/>
          <w:lang w:val="en-US" w:eastAsia="zh-CN" w:bidi="ar-SA"/>
        </w:rPr>
      </w:pPr>
      <w:r>
        <w:rPr>
          <w:rFonts w:hint="eastAsia" w:ascii="仿宋" w:hAnsi="仿宋" w:eastAsia="仿宋" w:cs="仿宋"/>
          <w:color w:val="000000"/>
          <w:kern w:val="2"/>
          <w:sz w:val="32"/>
          <w:szCs w:val="32"/>
          <w:lang w:val="en-US" w:eastAsia="zh-CN" w:bidi="ar-SA"/>
        </w:rPr>
        <w:t>2022年广安市广安区妇幼保健计划生育服务中心本年支出合计6266.1万元，其中：社会保障和就业支出279.25万元，占4%，较去年增长20%，增长原因是人员经费增加；卫生健康支出5847.88万元，占93%，较去年上升13%，增长原因是项目经费增加；住房保障支出75.85万元，占1%，较去年增长12%，增长原因是住房保障经费增加。</w:t>
      </w:r>
    </w:p>
    <w:p>
      <w:pPr>
        <w:numPr>
          <w:ilvl w:val="0"/>
          <w:numId w:val="0"/>
        </w:numPr>
        <w:ind w:leftChars="0" w:firstLine="660" w:firstLineChars="200"/>
        <w:rPr>
          <w:rFonts w:hint="default" w:ascii="方正黑体_GBK" w:hAnsi="Times New Roman" w:eastAsia="方正黑体_GBK" w:cs="方正黑体_GBK"/>
          <w:color w:val="000000"/>
          <w:kern w:val="2"/>
          <w:sz w:val="33"/>
          <w:szCs w:val="33"/>
          <w:lang w:val="en-US" w:eastAsia="zh-CN" w:bidi="ar-SA"/>
        </w:rPr>
        <w:sectPr>
          <w:pgSz w:w="11906" w:h="16838"/>
          <w:pgMar w:top="1440" w:right="1800" w:bottom="1440" w:left="1800" w:header="851" w:footer="992" w:gutter="0"/>
          <w:pgNumType w:fmt="decimal"/>
          <w:cols w:space="425" w:num="1"/>
          <w:docGrid w:type="lines" w:linePitch="312" w:charSpace="0"/>
        </w:sectPr>
      </w:pPr>
    </w:p>
    <w:p>
      <w:pPr>
        <w:numPr>
          <w:ilvl w:val="0"/>
          <w:numId w:val="0"/>
        </w:numPr>
        <w:ind w:leftChars="0" w:firstLine="420" w:firstLineChars="200"/>
      </w:pPr>
      <w:r>
        <w:drawing>
          <wp:inline distT="0" distB="0" distL="114300" distR="114300">
            <wp:extent cx="4810125" cy="2805430"/>
            <wp:effectExtent l="4445" t="4445" r="5080" b="9525"/>
            <wp:docPr id="1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spacing w:line="600" w:lineRule="exact"/>
        <w:ind w:firstLine="1320" w:firstLineChars="400"/>
        <w:jc w:val="both"/>
        <w:rPr>
          <w:rFonts w:hint="default" w:ascii="方正黑体_GBK" w:hAnsi="Times New Roman" w:eastAsia="方正黑体_GBK" w:cs="方正黑体_GBK"/>
          <w:color w:val="FF0000"/>
          <w:kern w:val="2"/>
          <w:sz w:val="33"/>
          <w:szCs w:val="33"/>
          <w:lang w:val="en-US" w:eastAsia="zh-CN" w:bidi="ar-SA"/>
        </w:rPr>
      </w:pPr>
      <w:r>
        <w:rPr>
          <w:rFonts w:hint="eastAsia" w:ascii="方正黑体_GBK" w:eastAsia="方正黑体_GBK" w:cs="方正黑体_GBK"/>
          <w:color w:val="000000"/>
          <w:kern w:val="2"/>
          <w:sz w:val="33"/>
          <w:szCs w:val="33"/>
          <w:lang w:val="en-US" w:eastAsia="zh-CN" w:bidi="ar-SA"/>
        </w:rPr>
        <w:t>（图3：支出决算结构图）（饼状图）</w:t>
      </w:r>
    </w:p>
    <w:p>
      <w:pPr>
        <w:tabs>
          <w:tab w:val="center" w:pos="4153"/>
        </w:tabs>
        <w:bidi w:val="0"/>
        <w:jc w:val="left"/>
        <w:rPr>
          <w:rFonts w:hint="default"/>
          <w:lang w:val="en-US" w:eastAsia="zh-CN"/>
        </w:rPr>
      </w:pPr>
    </w:p>
    <w:p>
      <w:pPr>
        <w:tabs>
          <w:tab w:val="center" w:pos="4153"/>
        </w:tabs>
        <w:bidi w:val="0"/>
        <w:jc w:val="left"/>
        <w:rPr>
          <w:rFonts w:hint="default"/>
          <w:lang w:val="en-US" w:eastAsia="zh-CN"/>
        </w:rPr>
      </w:pPr>
      <w:r>
        <w:drawing>
          <wp:inline distT="0" distB="0" distL="114300" distR="114300">
            <wp:extent cx="4826000" cy="2743200"/>
            <wp:effectExtent l="4445" t="4445" r="8255" b="14605"/>
            <wp:docPr id="1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tabs>
          <w:tab w:val="center" w:pos="4153"/>
        </w:tabs>
        <w:bidi w:val="0"/>
        <w:jc w:val="left"/>
        <w:rPr>
          <w:rFonts w:hint="default"/>
          <w:lang w:val="en-US" w:eastAsia="zh-CN"/>
        </w:rPr>
      </w:pPr>
    </w:p>
    <w:p>
      <w:pPr>
        <w:bidi w:val="0"/>
        <w:rPr>
          <w:rFonts w:hint="default" w:ascii="Times New Roman" w:hAnsi="Times New Roman" w:eastAsia="宋体" w:cs="Times New Roman"/>
          <w:kern w:val="2"/>
          <w:sz w:val="21"/>
          <w:szCs w:val="24"/>
          <w:lang w:val="en-US" w:eastAsia="zh-CN" w:bidi="ar-SA"/>
        </w:rPr>
      </w:pPr>
    </w:p>
    <w:p>
      <w:pPr>
        <w:spacing w:line="600" w:lineRule="exact"/>
        <w:ind w:firstLine="630" w:firstLineChars="300"/>
        <w:jc w:val="both"/>
        <w:rPr>
          <w:rFonts w:hint="eastAsia" w:ascii="方正黑体_GBK" w:hAnsi="Times New Roman" w:eastAsia="方正黑体_GBK" w:cs="方正黑体_GBK"/>
          <w:color w:val="000000"/>
          <w:kern w:val="2"/>
          <w:sz w:val="33"/>
          <w:szCs w:val="33"/>
          <w:lang w:val="en-US" w:eastAsia="zh-CN" w:bidi="ar-SA"/>
        </w:rPr>
      </w:pPr>
      <w:r>
        <w:rPr>
          <w:rFonts w:hint="eastAsia"/>
          <w:lang w:val="en-US" w:eastAsia="zh-CN"/>
        </w:rPr>
        <w:tab/>
      </w:r>
      <w:r>
        <w:rPr>
          <w:rFonts w:hint="eastAsia" w:ascii="方正黑体_GBK" w:eastAsia="方正黑体_GBK" w:cs="方正黑体_GBK"/>
          <w:color w:val="000000"/>
          <w:kern w:val="2"/>
          <w:sz w:val="33"/>
          <w:szCs w:val="33"/>
          <w:lang w:val="en-US" w:eastAsia="zh-CN" w:bidi="ar-SA"/>
        </w:rPr>
        <w:t>（图4：支出决算变动情况图）（柱状图）</w:t>
      </w:r>
    </w:p>
    <w:p>
      <w:pPr>
        <w:tabs>
          <w:tab w:val="center" w:pos="4153"/>
        </w:tabs>
        <w:bidi w:val="0"/>
        <w:jc w:val="left"/>
        <w:rPr>
          <w:rFonts w:hint="default"/>
          <w:lang w:val="en-US" w:eastAsia="zh-CN"/>
        </w:rPr>
      </w:pPr>
    </w:p>
    <w:p>
      <w:pPr>
        <w:tabs>
          <w:tab w:val="center" w:pos="4153"/>
        </w:tabs>
        <w:bidi w:val="0"/>
        <w:jc w:val="left"/>
        <w:rPr>
          <w:rFonts w:hint="default"/>
          <w:lang w:val="en-US" w:eastAsia="zh-CN"/>
        </w:rPr>
      </w:pPr>
    </w:p>
    <w:p>
      <w:pPr>
        <w:pStyle w:val="4"/>
        <w:bidi w:val="0"/>
        <w:rPr>
          <w:rFonts w:hint="eastAsia"/>
          <w:lang w:val="en-US" w:eastAsia="zh-CN"/>
        </w:rPr>
      </w:pPr>
      <w:bookmarkStart w:id="25" w:name="_Toc28216"/>
      <w:r>
        <w:rPr>
          <w:rFonts w:hint="eastAsia"/>
          <w:lang w:val="en-US" w:eastAsia="zh-CN"/>
        </w:rPr>
        <w:t>四、财政拨款收入支出决算总体情况说明</w:t>
      </w:r>
      <w:bookmarkEnd w:id="25"/>
    </w:p>
    <w:p>
      <w:pPr>
        <w:widowControl w:val="0"/>
        <w:numPr>
          <w:ilvl w:val="0"/>
          <w:numId w:val="0"/>
        </w:numPr>
        <w:jc w:val="both"/>
        <w:rPr>
          <w:rFonts w:hint="default"/>
          <w:lang w:val="en-US" w:eastAsia="zh-CN"/>
        </w:rPr>
      </w:pPr>
    </w:p>
    <w:p>
      <w:pPr>
        <w:widowControl w:val="0"/>
        <w:numPr>
          <w:ilvl w:val="0"/>
          <w:numId w:val="0"/>
        </w:numPr>
        <w:ind w:firstLine="640" w:firstLineChars="200"/>
        <w:jc w:val="both"/>
        <w:rPr>
          <w:rFonts w:hint="default"/>
          <w:lang w:val="en-US" w:eastAsia="zh-CN"/>
        </w:rPr>
      </w:pPr>
      <w:r>
        <w:rPr>
          <w:rFonts w:hint="eastAsia" w:ascii="仿宋" w:hAnsi="仿宋" w:eastAsia="仿宋" w:cs="仿宋"/>
          <w:color w:val="000000"/>
          <w:kern w:val="2"/>
          <w:sz w:val="32"/>
          <w:szCs w:val="32"/>
          <w:lang w:val="en-US" w:eastAsia="zh-CN" w:bidi="ar-SA"/>
        </w:rPr>
        <w:t>2022年度财政拨款收、支总计2162.49万元，较去年增加34%，上升原因是财政经费增加。</w:t>
      </w:r>
    </w:p>
    <w:p>
      <w:pPr>
        <w:pStyle w:val="4"/>
        <w:numPr>
          <w:ilvl w:val="0"/>
          <w:numId w:val="5"/>
        </w:numPr>
        <w:bidi w:val="0"/>
        <w:rPr>
          <w:rFonts w:hint="default"/>
          <w:lang w:val="en-US" w:eastAsia="zh-CN"/>
        </w:rPr>
      </w:pPr>
      <w:bookmarkStart w:id="26" w:name="_Toc11863"/>
      <w:r>
        <w:rPr>
          <w:rFonts w:hint="eastAsia"/>
          <w:lang w:val="en-US" w:eastAsia="zh-CN"/>
        </w:rPr>
        <w:t>一般公共预算财政拨款支出决算情况说明</w:t>
      </w:r>
      <w:bookmarkEnd w:id="26"/>
    </w:p>
    <w:p>
      <w:pPr>
        <w:pStyle w:val="5"/>
        <w:numPr>
          <w:ilvl w:val="0"/>
          <w:numId w:val="6"/>
        </w:numPr>
        <w:bidi w:val="0"/>
        <w:rPr>
          <w:rFonts w:hint="default"/>
          <w:lang w:val="en-US" w:eastAsia="zh-CN"/>
        </w:rPr>
      </w:pPr>
      <w:bookmarkStart w:id="27" w:name="_Toc15047"/>
      <w:r>
        <w:rPr>
          <w:rFonts w:hint="eastAsia"/>
          <w:lang w:val="en-US" w:eastAsia="zh-CN"/>
        </w:rPr>
        <w:t>一般公共预算财政拨款支出决算总体情况</w:t>
      </w:r>
      <w:bookmarkEnd w:id="27"/>
    </w:p>
    <w:p>
      <w:pPr>
        <w:widowControl w:val="0"/>
        <w:numPr>
          <w:ilvl w:val="0"/>
          <w:numId w:val="0"/>
        </w:numPr>
        <w:ind w:firstLine="640" w:firstLineChars="200"/>
        <w:jc w:val="both"/>
        <w:rPr>
          <w:rFonts w:hint="eastAsia" w:ascii="方正黑体_GBK" w:eastAsia="方正黑体_GBK" w:cs="方正黑体_GBK"/>
          <w:color w:val="000000"/>
          <w:kern w:val="2"/>
          <w:sz w:val="33"/>
          <w:szCs w:val="33"/>
          <w:lang w:val="en-US" w:eastAsia="zh-CN" w:bidi="ar-SA"/>
        </w:rPr>
      </w:pPr>
      <w:r>
        <w:rPr>
          <w:rFonts w:hint="eastAsia" w:ascii="仿宋" w:hAnsi="仿宋" w:eastAsia="仿宋" w:cs="仿宋"/>
          <w:color w:val="000000"/>
          <w:kern w:val="2"/>
          <w:sz w:val="32"/>
          <w:szCs w:val="32"/>
          <w:lang w:val="en-US" w:eastAsia="zh-CN" w:bidi="ar-SA"/>
        </w:rPr>
        <w:t>2022年度一般公共预算财政拨款支出2162.49万元，占本年支出合计的26%。</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r>
        <w:drawing>
          <wp:anchor distT="0" distB="0" distL="114300" distR="114300" simplePos="0" relativeHeight="251661312" behindDoc="0" locked="0" layoutInCell="1" allowOverlap="1">
            <wp:simplePos x="0" y="0"/>
            <wp:positionH relativeFrom="column">
              <wp:posOffset>569595</wp:posOffset>
            </wp:positionH>
            <wp:positionV relativeFrom="paragraph">
              <wp:posOffset>183515</wp:posOffset>
            </wp:positionV>
            <wp:extent cx="3998595" cy="2115820"/>
            <wp:effectExtent l="4445" t="4445" r="16510" b="13335"/>
            <wp:wrapSquare wrapText="bothSides"/>
            <wp:docPr id="1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spacing w:line="600" w:lineRule="exact"/>
        <w:jc w:val="center"/>
        <w:rPr>
          <w:rFonts w:hint="eastAsia" w:ascii="方正黑体_GBK" w:eastAsia="方正黑体_GBK" w:cs="方正黑体_GBK"/>
          <w:color w:val="000000"/>
          <w:kern w:val="2"/>
          <w:sz w:val="33"/>
          <w:szCs w:val="33"/>
          <w:lang w:val="en-US" w:eastAsia="zh-CN" w:bidi="ar-SA"/>
        </w:rPr>
      </w:pPr>
      <w:r>
        <w:rPr>
          <w:rFonts w:hint="eastAsia" w:ascii="方正黑体_GBK" w:eastAsia="方正黑体_GBK" w:cs="方正黑体_GBK"/>
          <w:color w:val="000000"/>
          <w:kern w:val="2"/>
          <w:sz w:val="33"/>
          <w:szCs w:val="33"/>
          <w:lang w:val="en-US" w:eastAsia="zh-CN" w:bidi="ar-SA"/>
        </w:rPr>
        <w:t>（图5：一般公共预算财政拨款支出决算占比图）</w:t>
      </w:r>
    </w:p>
    <w:p>
      <w:pPr>
        <w:spacing w:line="600" w:lineRule="exact"/>
        <w:ind w:firstLine="3300" w:firstLineChars="1000"/>
        <w:jc w:val="both"/>
        <w:rPr>
          <w:rFonts w:hint="eastAsia" w:ascii="方正黑体_GBK" w:eastAsia="方正黑体_GBK" w:cs="方正黑体_GBK"/>
          <w:color w:val="000000"/>
          <w:kern w:val="2"/>
          <w:sz w:val="33"/>
          <w:szCs w:val="33"/>
          <w:lang w:val="en-US" w:eastAsia="zh-CN" w:bidi="ar-SA"/>
        </w:rPr>
      </w:pPr>
      <w:r>
        <w:rPr>
          <w:rFonts w:hint="eastAsia" w:ascii="方正黑体_GBK" w:eastAsia="方正黑体_GBK" w:cs="方正黑体_GBK"/>
          <w:color w:val="000000"/>
          <w:kern w:val="2"/>
          <w:sz w:val="33"/>
          <w:szCs w:val="33"/>
          <w:lang w:val="en-US" w:eastAsia="zh-CN" w:bidi="ar-SA"/>
        </w:rPr>
        <w:t>（饼状图）</w:t>
      </w:r>
    </w:p>
    <w:p>
      <w:pPr>
        <w:pStyle w:val="5"/>
        <w:numPr>
          <w:ilvl w:val="0"/>
          <w:numId w:val="6"/>
        </w:numPr>
        <w:bidi w:val="0"/>
        <w:ind w:left="0" w:leftChars="0" w:firstLine="0" w:firstLineChars="0"/>
        <w:rPr>
          <w:rFonts w:hint="eastAsia"/>
          <w:lang w:val="en-US" w:eastAsia="zh-CN"/>
        </w:rPr>
      </w:pPr>
      <w:bookmarkStart w:id="28" w:name="_Toc21052"/>
      <w:r>
        <w:rPr>
          <w:rFonts w:hint="eastAsia"/>
          <w:lang w:val="en-US" w:eastAsia="zh-CN"/>
        </w:rPr>
        <w:t>一般公共预算财政拨款支出决算结构情况</w:t>
      </w:r>
      <w:bookmarkEnd w:id="28"/>
    </w:p>
    <w:p>
      <w:pPr>
        <w:spacing w:line="600" w:lineRule="exact"/>
        <w:ind w:firstLine="640"/>
        <w:rPr>
          <w:rFonts w:hint="eastAsia" w:ascii="仿宋" w:hAnsi="仿宋" w:eastAsia="仿宋" w:cs="仿宋"/>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2022年一般公共预算财政</w:t>
      </w:r>
      <w:r>
        <w:rPr>
          <w:rFonts w:hint="eastAsia" w:ascii="仿宋" w:hAnsi="仿宋" w:eastAsia="仿宋" w:cs="仿宋"/>
          <w:color w:val="000000"/>
          <w:kern w:val="2"/>
          <w:sz w:val="32"/>
          <w:szCs w:val="32"/>
          <w:lang w:val="en-US" w:eastAsia="zh-CN" w:bidi="ar-SA"/>
        </w:rPr>
        <w:t>拨款支出2162.49万元，主要用于以下方面:社会保障和就业支出279.25万元，占13%；卫生健康支出1744.27万元，占81%；住房保障支出75.85万元，占4%。</w:t>
      </w:r>
    </w:p>
    <w:p>
      <w:pPr>
        <w:spacing w:line="600" w:lineRule="exact"/>
        <w:ind w:firstLine="640"/>
        <w:rPr>
          <w:rFonts w:hint="eastAsia" w:ascii="方正黑体_GBK" w:hAnsi="Times New Roman" w:eastAsia="方正黑体_GBK" w:cs="方正黑体_GBK"/>
          <w:color w:val="000000"/>
          <w:kern w:val="2"/>
          <w:sz w:val="33"/>
          <w:szCs w:val="33"/>
          <w:lang w:val="en-US" w:eastAsia="zh-CN" w:bidi="ar-SA"/>
        </w:rPr>
      </w:pPr>
    </w:p>
    <w:p>
      <w:pPr>
        <w:numPr>
          <w:ilvl w:val="0"/>
          <w:numId w:val="0"/>
        </w:numPr>
        <w:ind w:leftChars="0"/>
        <w:rPr>
          <w:rFonts w:hint="default"/>
          <w:lang w:val="en-US" w:eastAsia="zh-CN"/>
        </w:rPr>
      </w:pPr>
      <w:r>
        <w:drawing>
          <wp:anchor distT="0" distB="0" distL="114300" distR="114300" simplePos="0" relativeHeight="251662336" behindDoc="1" locked="0" layoutInCell="1" allowOverlap="1">
            <wp:simplePos x="0" y="0"/>
            <wp:positionH relativeFrom="column">
              <wp:posOffset>381000</wp:posOffset>
            </wp:positionH>
            <wp:positionV relativeFrom="paragraph">
              <wp:posOffset>77470</wp:posOffset>
            </wp:positionV>
            <wp:extent cx="4521835" cy="2524125"/>
            <wp:effectExtent l="4445" t="5080" r="7620" b="4445"/>
            <wp:wrapTight wrapText="bothSides">
              <wp:wrapPolygon>
                <wp:start x="-21" y="-43"/>
                <wp:lineTo x="-21" y="21475"/>
                <wp:lineTo x="21545" y="21475"/>
                <wp:lineTo x="21545" y="-43"/>
                <wp:lineTo x="-21" y="-43"/>
              </wp:wrapPolygon>
            </wp:wrapTight>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spacing w:line="600" w:lineRule="exact"/>
        <w:jc w:val="center"/>
        <w:rPr>
          <w:rFonts w:hint="eastAsia" w:ascii="方正黑体_GBK" w:eastAsia="方正黑体_GBK" w:cs="方正黑体_GBK"/>
          <w:color w:val="000000"/>
          <w:kern w:val="2"/>
          <w:sz w:val="33"/>
          <w:szCs w:val="33"/>
          <w:lang w:val="en-US" w:eastAsia="zh-CN" w:bidi="ar-SA"/>
        </w:rPr>
      </w:pPr>
      <w:r>
        <w:rPr>
          <w:rFonts w:hint="eastAsia" w:ascii="方正黑体_GBK" w:eastAsia="方正黑体_GBK" w:cs="方正黑体_GBK"/>
          <w:color w:val="000000"/>
          <w:kern w:val="2"/>
          <w:sz w:val="33"/>
          <w:szCs w:val="33"/>
          <w:lang w:val="en-US" w:eastAsia="zh-CN" w:bidi="ar-SA"/>
        </w:rPr>
        <w:t>（图6：一般公共预算财政拨款支出决算结构图）</w:t>
      </w:r>
    </w:p>
    <w:p>
      <w:pPr>
        <w:spacing w:line="600" w:lineRule="exact"/>
        <w:jc w:val="center"/>
        <w:rPr>
          <w:rFonts w:hint="default" w:ascii="方正黑体_GBK" w:hAnsi="Times New Roman" w:eastAsia="方正黑体_GBK" w:cs="方正黑体_GBK"/>
          <w:color w:val="000000"/>
          <w:kern w:val="2"/>
          <w:sz w:val="33"/>
          <w:szCs w:val="33"/>
          <w:lang w:val="en-US" w:eastAsia="zh-CN" w:bidi="ar-SA"/>
        </w:rPr>
      </w:pPr>
      <w:r>
        <w:rPr>
          <w:rFonts w:hint="eastAsia" w:ascii="方正黑体_GBK" w:eastAsia="方正黑体_GBK" w:cs="方正黑体_GBK"/>
          <w:color w:val="000000"/>
          <w:kern w:val="2"/>
          <w:sz w:val="33"/>
          <w:szCs w:val="33"/>
          <w:lang w:val="en-US" w:eastAsia="zh-CN" w:bidi="ar-SA"/>
        </w:rPr>
        <w:t>（饼状图）</w:t>
      </w:r>
    </w:p>
    <w:p>
      <w:pPr>
        <w:tabs>
          <w:tab w:val="center" w:pos="4153"/>
        </w:tabs>
        <w:bidi w:val="0"/>
        <w:jc w:val="left"/>
        <w:rPr>
          <w:rFonts w:hint="default"/>
          <w:lang w:val="en-US" w:eastAsia="zh-CN"/>
        </w:rPr>
      </w:pPr>
    </w:p>
    <w:p>
      <w:pPr>
        <w:tabs>
          <w:tab w:val="center" w:pos="4153"/>
        </w:tabs>
        <w:bidi w:val="0"/>
        <w:jc w:val="left"/>
        <w:rPr>
          <w:rFonts w:hint="default"/>
          <w:lang w:val="en-US" w:eastAsia="zh-CN"/>
        </w:rPr>
      </w:pPr>
    </w:p>
    <w:p>
      <w:pPr>
        <w:pStyle w:val="5"/>
        <w:numPr>
          <w:ilvl w:val="0"/>
          <w:numId w:val="6"/>
        </w:numPr>
        <w:bidi w:val="0"/>
        <w:ind w:left="0" w:leftChars="0" w:firstLine="0" w:firstLineChars="0"/>
        <w:rPr>
          <w:rFonts w:hint="eastAsia"/>
          <w:lang w:val="en-US" w:eastAsia="zh-CN"/>
        </w:rPr>
      </w:pPr>
      <w:bookmarkStart w:id="29" w:name="_Toc11268"/>
      <w:r>
        <w:rPr>
          <w:rFonts w:hint="eastAsia"/>
          <w:lang w:val="en-US" w:eastAsia="zh-CN"/>
        </w:rPr>
        <w:t>一般公共预算财政拨款支出决算具体情况</w:t>
      </w:r>
      <w:bookmarkEnd w:id="29"/>
    </w:p>
    <w:p>
      <w:pPr>
        <w:ind w:firstLine="660" w:firstLineChars="200"/>
        <w:rPr>
          <w:rFonts w:hint="eastAsia" w:ascii="方正黑体_GBK" w:eastAsia="方正黑体_GBK" w:cs="方正黑体_GBK"/>
          <w:color w:val="000000"/>
          <w:kern w:val="2"/>
          <w:sz w:val="33"/>
          <w:szCs w:val="33"/>
          <w:lang w:val="en-US" w:eastAsia="zh-CN" w:bidi="ar-SA"/>
        </w:rPr>
      </w:pPr>
      <w:r>
        <w:rPr>
          <w:rFonts w:hint="eastAsia" w:ascii="方正黑体_GBK" w:eastAsia="方正黑体_GBK" w:cs="方正黑体_GBK"/>
          <w:b w:val="0"/>
          <w:bCs w:val="0"/>
          <w:color w:val="000000"/>
          <w:kern w:val="2"/>
          <w:sz w:val="33"/>
          <w:szCs w:val="33"/>
          <w:lang w:val="en-US" w:eastAsia="zh-CN" w:bidi="ar-SA"/>
        </w:rPr>
        <w:t>2022</w:t>
      </w:r>
      <w:r>
        <w:rPr>
          <w:rFonts w:hint="eastAsia" w:ascii="方正黑体_GBK" w:hAnsi="Times New Roman" w:eastAsia="方正黑体_GBK" w:cs="方正黑体_GBK"/>
          <w:b w:val="0"/>
          <w:bCs w:val="0"/>
          <w:color w:val="000000"/>
          <w:kern w:val="2"/>
          <w:sz w:val="33"/>
          <w:szCs w:val="33"/>
          <w:lang w:val="en-US" w:eastAsia="zh-CN" w:bidi="ar-SA"/>
        </w:rPr>
        <w:t>年一般公共预算财政</w:t>
      </w:r>
      <w:r>
        <w:rPr>
          <w:rFonts w:hint="eastAsia" w:ascii="方正黑体_GBK" w:hAnsi="Times New Roman" w:eastAsia="方正黑体_GBK" w:cs="方正黑体_GBK"/>
          <w:color w:val="000000"/>
          <w:kern w:val="2"/>
          <w:sz w:val="33"/>
          <w:szCs w:val="33"/>
          <w:lang w:val="en-US" w:eastAsia="zh-CN" w:bidi="ar-SA"/>
        </w:rPr>
        <w:t>拨款支出</w:t>
      </w:r>
      <w:r>
        <w:rPr>
          <w:rFonts w:hint="eastAsia" w:ascii="方正黑体_GBK" w:eastAsia="方正黑体_GBK" w:cs="方正黑体_GBK"/>
          <w:color w:val="000000"/>
          <w:kern w:val="2"/>
          <w:sz w:val="33"/>
          <w:szCs w:val="33"/>
          <w:lang w:val="en-US" w:eastAsia="zh-CN" w:bidi="ar-SA"/>
        </w:rPr>
        <w:t>2162.49</w:t>
      </w:r>
      <w:r>
        <w:rPr>
          <w:rFonts w:hint="eastAsia" w:ascii="方正黑体_GBK" w:hAnsi="Times New Roman" w:eastAsia="方正黑体_GBK" w:cs="方正黑体_GBK"/>
          <w:color w:val="000000"/>
          <w:kern w:val="2"/>
          <w:sz w:val="33"/>
          <w:szCs w:val="33"/>
          <w:lang w:val="en-US" w:eastAsia="zh-CN" w:bidi="ar-SA"/>
        </w:rPr>
        <w:t>万元</w:t>
      </w:r>
      <w:r>
        <w:rPr>
          <w:rFonts w:hint="eastAsia" w:ascii="方正黑体_GBK" w:eastAsia="方正黑体_GBK" w:cs="方正黑体_GBK"/>
          <w:color w:val="000000"/>
          <w:kern w:val="2"/>
          <w:sz w:val="33"/>
          <w:szCs w:val="33"/>
          <w:lang w:val="en-US" w:eastAsia="zh-CN" w:bidi="ar-SA"/>
        </w:rPr>
        <w:t>，完成预算100%其中：</w:t>
      </w:r>
    </w:p>
    <w:p>
      <w:pPr>
        <w:numPr>
          <w:ilvl w:val="0"/>
          <w:numId w:val="7"/>
        </w:numPr>
        <w:spacing w:line="600" w:lineRule="exact"/>
        <w:ind w:left="420" w:leftChars="0" w:firstLine="0" w:firstLineChars="0"/>
        <w:rPr>
          <w:rFonts w:hint="default" w:ascii="仿宋_GB2312" w:eastAsia="仿宋_GB2312"/>
          <w:color w:val="000000"/>
          <w:sz w:val="32"/>
          <w:lang w:val="en-US" w:eastAsia="zh-CN"/>
        </w:rPr>
      </w:pPr>
      <w:r>
        <w:rPr>
          <w:rStyle w:val="15"/>
          <w:rFonts w:hint="eastAsia" w:ascii="仿宋" w:hAnsi="仿宋" w:eastAsia="仿宋"/>
          <w:bCs/>
          <w:color w:val="000000"/>
          <w:sz w:val="32"/>
          <w:szCs w:val="32"/>
          <w:lang w:eastAsia="zh-CN"/>
        </w:rPr>
        <w:t>卫生健康支出</w:t>
      </w:r>
      <w:r>
        <w:rPr>
          <w:rStyle w:val="15"/>
          <w:rFonts w:hint="eastAsia" w:ascii="仿宋" w:hAnsi="仿宋" w:eastAsia="仿宋"/>
          <w:bCs/>
          <w:color w:val="000000"/>
          <w:sz w:val="32"/>
          <w:szCs w:val="32"/>
        </w:rPr>
        <w:t>（类）公共卫生（款）</w:t>
      </w:r>
      <w:r>
        <w:rPr>
          <w:rStyle w:val="15"/>
          <w:rFonts w:hint="eastAsia" w:ascii="仿宋" w:hAnsi="仿宋" w:eastAsia="仿宋"/>
          <w:bCs/>
          <w:color w:val="000000"/>
          <w:sz w:val="32"/>
          <w:szCs w:val="32"/>
          <w:lang w:val="en-US" w:eastAsia="zh-CN"/>
        </w:rPr>
        <w:t>公共卫生</w:t>
      </w:r>
      <w:r>
        <w:rPr>
          <w:rStyle w:val="15"/>
          <w:rFonts w:hint="eastAsia" w:ascii="仿宋_GB2312" w:eastAsia="仿宋_GB2312"/>
          <w:color w:val="000000"/>
          <w:sz w:val="32"/>
        </w:rPr>
        <w:t>（项）:</w:t>
      </w:r>
      <w:r>
        <w:rPr>
          <w:rFonts w:hint="eastAsia" w:ascii="仿宋_GB2312" w:eastAsia="仿宋_GB2312"/>
          <w:color w:val="000000"/>
          <w:sz w:val="32"/>
          <w:lang w:eastAsia="zh-CN"/>
        </w:rPr>
        <w:t>2022</w:t>
      </w:r>
      <w:r>
        <w:rPr>
          <w:rFonts w:hint="eastAsia" w:ascii="仿宋_GB2312" w:eastAsia="仿宋_GB2312"/>
          <w:color w:val="000000"/>
          <w:sz w:val="32"/>
        </w:rPr>
        <w:t>年决算数为</w:t>
      </w:r>
      <w:r>
        <w:rPr>
          <w:rFonts w:hint="eastAsia" w:ascii="仿宋_GB2312" w:eastAsia="仿宋_GB2312" w:cs="Times New Roman"/>
          <w:color w:val="000000"/>
          <w:sz w:val="32"/>
          <w:lang w:val="en-US" w:eastAsia="zh-CN"/>
        </w:rPr>
        <w:t>1744.27</w:t>
      </w:r>
      <w:r>
        <w:rPr>
          <w:rFonts w:hint="eastAsia" w:ascii="仿宋_GB2312" w:eastAsia="仿宋_GB2312"/>
          <w:color w:val="000000"/>
          <w:sz w:val="32"/>
        </w:rPr>
        <w:t>万元，完成预算</w:t>
      </w:r>
      <w:r>
        <w:rPr>
          <w:rFonts w:hint="eastAsia" w:ascii="仿宋_GB2312" w:eastAsia="仿宋_GB2312"/>
          <w:color w:val="000000"/>
          <w:sz w:val="32"/>
          <w:lang w:val="en-US" w:eastAsia="zh-CN"/>
        </w:rPr>
        <w:t>100</w:t>
      </w:r>
      <w:r>
        <w:rPr>
          <w:rFonts w:hint="eastAsia" w:ascii="仿宋_GB2312" w:eastAsia="仿宋_GB2312"/>
          <w:color w:val="000000"/>
          <w:sz w:val="32"/>
        </w:rPr>
        <w:t>%</w:t>
      </w:r>
      <w:r>
        <w:rPr>
          <w:rFonts w:hint="eastAsia" w:ascii="仿宋_GB2312" w:eastAsia="仿宋_GB2312"/>
          <w:color w:val="000000"/>
          <w:sz w:val="32"/>
          <w:lang w:eastAsia="zh-CN"/>
        </w:rPr>
        <w:t>，主要为单位严格执行预算</w:t>
      </w:r>
      <w:r>
        <w:rPr>
          <w:rFonts w:hint="eastAsia" w:ascii="仿宋_GB2312" w:eastAsia="仿宋_GB2312"/>
          <w:color w:val="000000"/>
          <w:sz w:val="32"/>
        </w:rPr>
        <w:t>；</w:t>
      </w:r>
    </w:p>
    <w:p>
      <w:pPr>
        <w:numPr>
          <w:ilvl w:val="0"/>
          <w:numId w:val="7"/>
        </w:numPr>
        <w:spacing w:line="600" w:lineRule="exact"/>
        <w:ind w:left="420" w:leftChars="0" w:firstLine="0" w:firstLineChars="0"/>
        <w:rPr>
          <w:rFonts w:hint="eastAsia" w:ascii="仿宋_GB2312" w:eastAsia="仿宋_GB2312"/>
          <w:color w:val="000000"/>
          <w:sz w:val="32"/>
          <w:lang w:eastAsia="zh-CN"/>
        </w:rPr>
      </w:pPr>
      <w:r>
        <w:rPr>
          <w:rStyle w:val="15"/>
          <w:rFonts w:hint="eastAsia" w:ascii="仿宋" w:hAnsi="仿宋" w:eastAsia="仿宋"/>
          <w:bCs/>
          <w:color w:val="000000"/>
          <w:sz w:val="32"/>
          <w:szCs w:val="32"/>
          <w:lang w:val="en-US" w:eastAsia="zh-CN"/>
        </w:rPr>
        <w:t>社会保障和就业支出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养老支出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事业单位支出</w:t>
      </w:r>
      <w:r>
        <w:rPr>
          <w:rStyle w:val="15"/>
          <w:rFonts w:hint="eastAsia" w:ascii="仿宋_GB2312" w:eastAsia="仿宋_GB2312"/>
          <w:color w:val="000000"/>
          <w:sz w:val="32"/>
        </w:rPr>
        <w:t>（项）:</w:t>
      </w:r>
      <w:r>
        <w:rPr>
          <w:rFonts w:hint="eastAsia" w:ascii="仿宋_GB2312" w:eastAsia="仿宋_GB2312"/>
          <w:color w:val="000000"/>
          <w:sz w:val="32"/>
          <w:lang w:eastAsia="zh-CN"/>
        </w:rPr>
        <w:t>2022</w:t>
      </w:r>
      <w:r>
        <w:rPr>
          <w:rFonts w:hint="eastAsia" w:ascii="仿宋_GB2312" w:eastAsia="仿宋_GB2312"/>
          <w:color w:val="000000"/>
          <w:sz w:val="32"/>
        </w:rPr>
        <w:t>年决算数为</w:t>
      </w:r>
      <w:r>
        <w:rPr>
          <w:rFonts w:hint="eastAsia" w:ascii="仿宋_GB2312" w:eastAsia="仿宋_GB2312"/>
          <w:color w:val="000000"/>
          <w:sz w:val="32"/>
          <w:lang w:val="en-US" w:eastAsia="zh-CN"/>
        </w:rPr>
        <w:t>279.25</w:t>
      </w:r>
      <w:r>
        <w:rPr>
          <w:rFonts w:hint="eastAsia" w:ascii="仿宋_GB2312" w:eastAsia="仿宋_GB2312"/>
          <w:color w:val="000000"/>
          <w:sz w:val="32"/>
        </w:rPr>
        <w:t>万元，完成预算</w:t>
      </w:r>
      <w:r>
        <w:rPr>
          <w:rFonts w:hint="eastAsia" w:ascii="仿宋_GB2312" w:eastAsia="仿宋_GB2312"/>
          <w:color w:val="000000"/>
          <w:sz w:val="32"/>
          <w:lang w:val="en-US" w:eastAsia="zh-CN"/>
        </w:rPr>
        <w:t>100</w:t>
      </w:r>
      <w:r>
        <w:rPr>
          <w:rFonts w:hint="eastAsia" w:ascii="仿宋_GB2312" w:eastAsia="仿宋_GB2312"/>
          <w:color w:val="000000"/>
          <w:sz w:val="32"/>
        </w:rPr>
        <w:t>%</w:t>
      </w:r>
      <w:r>
        <w:rPr>
          <w:rFonts w:hint="eastAsia" w:ascii="仿宋_GB2312" w:eastAsia="仿宋_GB2312"/>
          <w:color w:val="000000"/>
          <w:sz w:val="32"/>
          <w:lang w:eastAsia="zh-CN"/>
        </w:rPr>
        <w:t>，主要为单位严格执行预算</w:t>
      </w:r>
      <w:r>
        <w:rPr>
          <w:rFonts w:hint="eastAsia" w:ascii="仿宋_GB2312" w:eastAsia="仿宋_GB2312"/>
          <w:color w:val="000000"/>
          <w:sz w:val="32"/>
        </w:rPr>
        <w:t>；</w:t>
      </w:r>
    </w:p>
    <w:p>
      <w:pPr>
        <w:numPr>
          <w:ilvl w:val="0"/>
          <w:numId w:val="7"/>
        </w:numPr>
        <w:spacing w:line="600" w:lineRule="exact"/>
        <w:ind w:left="420" w:leftChars="0" w:firstLine="0" w:firstLineChars="0"/>
        <w:rPr>
          <w:rFonts w:hint="default"/>
          <w:lang w:val="en-US" w:eastAsia="zh-CN"/>
        </w:rPr>
      </w:pPr>
      <w:r>
        <w:rPr>
          <w:rStyle w:val="15"/>
          <w:rFonts w:hint="eastAsia" w:ascii="仿宋" w:hAnsi="仿宋" w:eastAsia="仿宋" w:cstheme="minorBidi"/>
          <w:bCs/>
          <w:color w:val="000000"/>
          <w:sz w:val="32"/>
          <w:szCs w:val="32"/>
          <w:lang w:val="en-US" w:eastAsia="zh-CN"/>
        </w:rPr>
        <w:t>住房保障</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住房改革</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住房公积金</w:t>
      </w:r>
      <w:r>
        <w:rPr>
          <w:rStyle w:val="15"/>
          <w:rFonts w:hint="eastAsia" w:ascii="仿宋_GB2312" w:eastAsia="仿宋_GB2312"/>
          <w:color w:val="000000"/>
          <w:sz w:val="32"/>
        </w:rPr>
        <w:t>（项）:</w:t>
      </w:r>
      <w:r>
        <w:rPr>
          <w:rFonts w:hint="eastAsia" w:ascii="仿宋_GB2312" w:eastAsia="仿宋_GB2312"/>
          <w:color w:val="000000"/>
          <w:sz w:val="32"/>
          <w:lang w:eastAsia="zh-CN"/>
        </w:rPr>
        <w:t>2022</w:t>
      </w:r>
      <w:r>
        <w:rPr>
          <w:rFonts w:hint="eastAsia" w:ascii="仿宋_GB2312" w:eastAsia="仿宋_GB2312"/>
          <w:color w:val="000000"/>
          <w:sz w:val="32"/>
        </w:rPr>
        <w:t>年决算数为</w:t>
      </w:r>
      <w:r>
        <w:rPr>
          <w:rFonts w:hint="eastAsia" w:ascii="仿宋_GB2312" w:eastAsia="仿宋_GB2312" w:cs="Times New Roman"/>
          <w:color w:val="000000"/>
          <w:sz w:val="32"/>
          <w:lang w:val="en-US" w:eastAsia="zh-CN"/>
        </w:rPr>
        <w:t>75.85</w:t>
      </w:r>
      <w:r>
        <w:rPr>
          <w:rFonts w:hint="eastAsia" w:ascii="仿宋_GB2312" w:eastAsia="仿宋_GB2312"/>
          <w:color w:val="000000"/>
          <w:sz w:val="32"/>
        </w:rPr>
        <w:t>万元，完成预算</w:t>
      </w:r>
      <w:r>
        <w:rPr>
          <w:rFonts w:hint="eastAsia" w:ascii="仿宋_GB2312" w:eastAsia="仿宋_GB2312"/>
          <w:color w:val="000000"/>
          <w:sz w:val="32"/>
          <w:lang w:val="en-US" w:eastAsia="zh-CN"/>
        </w:rPr>
        <w:t>100</w:t>
      </w:r>
      <w:r>
        <w:rPr>
          <w:rFonts w:hint="eastAsia" w:ascii="仿宋_GB2312" w:eastAsia="仿宋_GB2312"/>
          <w:color w:val="000000"/>
          <w:sz w:val="32"/>
        </w:rPr>
        <w:t>%</w:t>
      </w:r>
      <w:r>
        <w:rPr>
          <w:rFonts w:hint="eastAsia" w:ascii="仿宋_GB2312" w:eastAsia="仿宋_GB2312"/>
          <w:color w:val="000000"/>
          <w:sz w:val="32"/>
          <w:lang w:eastAsia="zh-CN"/>
        </w:rPr>
        <w:t>，主要为单位严格执行预算</w:t>
      </w:r>
      <w:r>
        <w:rPr>
          <w:rFonts w:hint="eastAsia" w:ascii="仿宋_GB2312" w:eastAsia="仿宋_GB2312"/>
          <w:color w:val="000000"/>
          <w:sz w:val="32"/>
        </w:rPr>
        <w:t>；</w:t>
      </w:r>
    </w:p>
    <w:p>
      <w:pPr>
        <w:pStyle w:val="4"/>
        <w:numPr>
          <w:ilvl w:val="0"/>
          <w:numId w:val="5"/>
        </w:numPr>
        <w:bidi w:val="0"/>
        <w:ind w:left="0" w:leftChars="0" w:firstLine="0" w:firstLineChars="0"/>
        <w:rPr>
          <w:rFonts w:hint="eastAsia"/>
        </w:rPr>
      </w:pPr>
      <w:bookmarkStart w:id="30" w:name="_Toc31462"/>
      <w:r>
        <w:rPr>
          <w:rFonts w:hint="eastAsia" w:ascii="黑体" w:hAnsi="黑体" w:eastAsia="黑体"/>
          <w:b/>
          <w:color w:val="auto"/>
          <w:sz w:val="32"/>
          <w:szCs w:val="32"/>
          <w:highlight w:val="none"/>
        </w:rPr>
        <w:t>一</w:t>
      </w:r>
      <w:r>
        <w:rPr>
          <w:rStyle w:val="16"/>
          <w:rFonts w:hint="eastAsia" w:ascii="黑体" w:hAnsi="黑体" w:eastAsia="黑体"/>
          <w:b w:val="0"/>
          <w:color w:val="auto"/>
          <w:highlight w:val="none"/>
        </w:rPr>
        <w:t>般公共预算财政拨款基本支出决算情况说明</w:t>
      </w:r>
      <w:bookmarkEnd w:id="30"/>
    </w:p>
    <w:p>
      <w:pPr>
        <w:spacing w:line="600" w:lineRule="exact"/>
        <w:ind w:firstLine="64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2022年一般公共预算财政拨款支出2162.49万元，主要用于以下方面:社会保障和就业支出279.25万元；卫生健康支出1744.27万元；住房保障支出75.85万元。</w:t>
      </w:r>
      <w:r>
        <w:rPr>
          <w:rFonts w:hint="eastAsia" w:ascii="仿宋" w:hAnsi="仿宋" w:eastAsia="仿宋" w:cs="Times New Roman"/>
          <w:color w:val="auto"/>
          <w:sz w:val="32"/>
          <w:szCs w:val="32"/>
          <w:highlight w:val="none"/>
        </w:rPr>
        <w:t>一般公共预算财政拨款</w:t>
      </w:r>
      <w:r>
        <w:rPr>
          <w:rFonts w:hint="eastAsia" w:ascii="仿宋" w:hAnsi="仿宋" w:eastAsia="仿宋" w:cs="Times New Roman"/>
          <w:color w:val="auto"/>
          <w:sz w:val="32"/>
          <w:szCs w:val="32"/>
          <w:highlight w:val="none"/>
          <w:lang w:eastAsia="zh-CN"/>
        </w:rPr>
        <w:t>项目</w:t>
      </w:r>
      <w:r>
        <w:rPr>
          <w:rFonts w:hint="eastAsia" w:ascii="仿宋" w:hAnsi="仿宋" w:eastAsia="仿宋" w:cs="Times New Roman"/>
          <w:color w:val="auto"/>
          <w:sz w:val="32"/>
          <w:szCs w:val="32"/>
          <w:highlight w:val="none"/>
        </w:rPr>
        <w:t>支出决算情况说明</w:t>
      </w:r>
      <w:r>
        <w:rPr>
          <w:rFonts w:hint="eastAsia" w:ascii="仿宋" w:hAnsi="仿宋" w:eastAsia="仿宋" w:cs="Times New Roman"/>
          <w:color w:val="auto"/>
          <w:sz w:val="32"/>
          <w:szCs w:val="32"/>
          <w:highlight w:val="none"/>
          <w:lang w:eastAsia="zh-CN"/>
        </w:rPr>
        <w:t>。</w:t>
      </w:r>
    </w:p>
    <w:p>
      <w:pPr>
        <w:numPr>
          <w:ilvl w:val="0"/>
          <w:numId w:val="5"/>
        </w:numPr>
        <w:spacing w:line="600" w:lineRule="exact"/>
        <w:ind w:left="0" w:leftChars="0" w:firstLine="0" w:firstLineChars="0"/>
        <w:rPr>
          <w:rStyle w:val="16"/>
          <w:rFonts w:hint="eastAsia" w:ascii="黑体" w:hAnsi="黑体" w:cstheme="minorBidi"/>
          <w:b w:val="0"/>
          <w:color w:val="auto"/>
          <w:kern w:val="2"/>
          <w:szCs w:val="24"/>
          <w:highlight w:val="none"/>
          <w:lang w:val="en-US" w:eastAsia="zh-CN" w:bidi="ar-SA"/>
        </w:rPr>
      </w:pPr>
      <w:bookmarkStart w:id="31" w:name="_Toc899"/>
      <w:r>
        <w:rPr>
          <w:rStyle w:val="16"/>
          <w:rFonts w:hint="eastAsia" w:ascii="黑体" w:hAnsi="黑体" w:cstheme="minorBidi"/>
          <w:b w:val="0"/>
          <w:color w:val="auto"/>
          <w:kern w:val="2"/>
          <w:szCs w:val="24"/>
          <w:highlight w:val="none"/>
          <w:lang w:val="en-US" w:eastAsia="zh-CN" w:bidi="ar-SA"/>
        </w:rPr>
        <w:t>一般公共预算财政拨款项目支出决算情况说明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2022</w:t>
      </w:r>
      <w:r>
        <w:rPr>
          <w:rFonts w:hint="eastAsia" w:ascii="仿宋" w:hAnsi="仿宋" w:eastAsia="仿宋"/>
          <w:color w:val="000000" w:themeColor="text1"/>
          <w:sz w:val="32"/>
          <w:szCs w:val="32"/>
          <w14:textFill>
            <w14:solidFill>
              <w14:schemeClr w14:val="tx1"/>
            </w14:solidFill>
          </w14:textFill>
        </w:rPr>
        <w:t>年一般公共预算财政拨款</w:t>
      </w:r>
      <w:r>
        <w:rPr>
          <w:rFonts w:hint="eastAsia" w:ascii="仿宋" w:hAnsi="仿宋" w:eastAsia="仿宋"/>
          <w:color w:val="000000" w:themeColor="text1"/>
          <w:sz w:val="32"/>
          <w:szCs w:val="32"/>
          <w:lang w:eastAsia="zh-CN"/>
          <w14:textFill>
            <w14:solidFill>
              <w14:schemeClr w14:val="tx1"/>
            </w14:solidFill>
          </w14:textFill>
        </w:rPr>
        <w:t>项目</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p>
    <w:p>
      <w:pPr>
        <w:pStyle w:val="6"/>
        <w:numPr>
          <w:ilvl w:val="0"/>
          <w:numId w:val="0"/>
        </w:numPr>
        <w:ind w:leftChars="0"/>
        <w:rPr>
          <w:rFonts w:hint="eastAsia"/>
          <w:color w:val="000000" w:themeColor="text1"/>
          <w:lang w:val="en-US" w:eastAsia="zh-CN"/>
          <w14:textFill>
            <w14:solidFill>
              <w14:schemeClr w14:val="tx1"/>
            </w14:solidFill>
          </w14:textFill>
        </w:rPr>
      </w:pPr>
    </w:p>
    <w:bookmarkEnd w:id="31"/>
    <w:p>
      <w:pPr>
        <w:spacing w:line="600" w:lineRule="exact"/>
        <w:outlineLvl w:val="1"/>
        <w:rPr>
          <w:rStyle w:val="16"/>
          <w:rFonts w:ascii="黑体" w:hAnsi="黑体" w:eastAsia="黑体"/>
          <w:b w:val="0"/>
          <w:color w:val="auto"/>
          <w:highlight w:val="none"/>
        </w:rPr>
      </w:pPr>
      <w:bookmarkStart w:id="32" w:name="_Toc11284"/>
      <w:bookmarkStart w:id="33" w:name="_Toc15396609"/>
      <w:bookmarkStart w:id="34" w:name="_Toc15377215"/>
      <w:r>
        <w:rPr>
          <w:rFonts w:hint="eastAsia" w:ascii="黑体" w:eastAsia="黑体"/>
          <w:color w:val="auto"/>
          <w:sz w:val="32"/>
          <w:szCs w:val="32"/>
          <w:highlight w:val="none"/>
          <w:lang w:eastAsia="zh-CN"/>
        </w:rPr>
        <w:t>八</w:t>
      </w:r>
      <w:r>
        <w:rPr>
          <w:rFonts w:hint="eastAsia" w:ascii="黑体" w:eastAsia="黑体"/>
          <w:color w:val="auto"/>
          <w:sz w:val="32"/>
          <w:szCs w:val="32"/>
          <w:highlight w:val="none"/>
        </w:rPr>
        <w:t>、</w:t>
      </w:r>
      <w:r>
        <w:rPr>
          <w:rStyle w:val="16"/>
          <w:rFonts w:hint="eastAsia" w:ascii="黑体" w:hAnsi="黑体" w:eastAsia="黑体"/>
          <w:color w:val="auto"/>
          <w:highlight w:val="none"/>
        </w:rPr>
        <w:t>“</w:t>
      </w:r>
      <w:r>
        <w:rPr>
          <w:rStyle w:val="16"/>
          <w:rFonts w:hint="eastAsia" w:ascii="黑体" w:hAnsi="黑体" w:eastAsia="黑体"/>
          <w:b w:val="0"/>
          <w:color w:val="auto"/>
          <w:highlight w:val="none"/>
        </w:rPr>
        <w:t>三公”经费财政拨款支出决算情况说明</w:t>
      </w:r>
      <w:bookmarkEnd w:id="32"/>
      <w:bookmarkEnd w:id="33"/>
      <w:bookmarkEnd w:id="34"/>
    </w:p>
    <w:p>
      <w:pPr>
        <w:spacing w:line="600" w:lineRule="exact"/>
        <w:ind w:firstLine="640"/>
        <w:outlineLvl w:val="2"/>
        <w:rPr>
          <w:rFonts w:ascii="仿宋" w:hAnsi="仿宋" w:eastAsia="仿宋"/>
          <w:b/>
          <w:color w:val="auto"/>
          <w:sz w:val="32"/>
          <w:szCs w:val="32"/>
          <w:highlight w:val="none"/>
        </w:rPr>
      </w:pPr>
      <w:bookmarkStart w:id="35" w:name="_Toc15377216"/>
      <w:bookmarkStart w:id="36" w:name="_Toc17562"/>
      <w:r>
        <w:rPr>
          <w:rFonts w:hint="eastAsia" w:ascii="仿宋" w:hAnsi="仿宋" w:eastAsia="仿宋"/>
          <w:b/>
          <w:color w:val="auto"/>
          <w:sz w:val="32"/>
          <w:szCs w:val="32"/>
          <w:highlight w:val="none"/>
        </w:rPr>
        <w:t>（一）“三公”经费财政拨款支出决算总体情况说明</w:t>
      </w:r>
      <w:bookmarkEnd w:id="35"/>
      <w:bookmarkEnd w:id="36"/>
    </w:p>
    <w:p>
      <w:pPr>
        <w:spacing w:line="600" w:lineRule="exact"/>
        <w:ind w:firstLine="640"/>
        <w:rPr>
          <w:rFonts w:ascii="仿宋" w:hAnsi="仿宋" w:eastAsia="仿宋"/>
          <w:color w:val="000000"/>
          <w:sz w:val="32"/>
          <w:szCs w:val="32"/>
        </w:rPr>
      </w:pPr>
      <w:bookmarkStart w:id="37" w:name="_Toc15377217"/>
      <w:r>
        <w:rPr>
          <w:rFonts w:hint="eastAsia" w:ascii="仿宋" w:hAnsi="仿宋" w:eastAsia="仿宋"/>
          <w:color w:val="000000"/>
          <w:sz w:val="32"/>
          <w:szCs w:val="32"/>
          <w:lang w:eastAsia="zh-CN"/>
        </w:rPr>
        <w:t>2022</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与</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持平</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本年与上年无“三公”经费财政拨款</w:t>
      </w:r>
      <w:r>
        <w:rPr>
          <w:rFonts w:hint="eastAsia" w:ascii="仿宋" w:hAnsi="仿宋" w:eastAsia="仿宋"/>
          <w:color w:val="000000"/>
          <w:sz w:val="32"/>
          <w:szCs w:val="32"/>
          <w:lang w:eastAsia="zh-CN"/>
        </w:rPr>
        <w:t>。</w:t>
      </w:r>
      <w:r>
        <w:rPr>
          <w:rFonts w:hint="eastAsia" w:ascii="仿宋" w:hAnsi="仿宋" w:eastAsia="仿宋"/>
          <w:color w:val="000000"/>
          <w:sz w:val="32"/>
          <w:szCs w:val="32"/>
        </w:rPr>
        <w:t>决算数与预算数持平的主要原因是</w:t>
      </w:r>
      <w:r>
        <w:rPr>
          <w:rFonts w:hint="eastAsia" w:ascii="仿宋" w:hAnsi="仿宋" w:eastAsia="仿宋"/>
          <w:color w:val="000000"/>
          <w:sz w:val="32"/>
          <w:szCs w:val="32"/>
          <w:lang w:val="en-US" w:eastAsia="zh-CN"/>
        </w:rPr>
        <w:t>本年无“三公”经费财政拨款</w:t>
      </w:r>
      <w:r>
        <w:rPr>
          <w:rFonts w:hint="eastAsia" w:ascii="仿宋" w:hAnsi="仿宋" w:eastAsia="仿宋"/>
          <w:color w:val="000000"/>
          <w:sz w:val="32"/>
          <w:szCs w:val="32"/>
        </w:rPr>
        <w:t>。</w:t>
      </w:r>
    </w:p>
    <w:p>
      <w:pPr>
        <w:spacing w:line="600" w:lineRule="exact"/>
        <w:ind w:firstLine="640"/>
        <w:rPr>
          <w:rFonts w:hint="eastAsia" w:ascii="仿宋" w:hAnsi="仿宋" w:eastAsia="仿宋" w:cs="Times New Roman"/>
          <w:color w:val="auto"/>
          <w:sz w:val="32"/>
          <w:szCs w:val="32"/>
          <w:highlight w:val="none"/>
          <w:lang w:val="en-US" w:eastAsia="zh-CN"/>
        </w:rPr>
      </w:pPr>
    </w:p>
    <w:p>
      <w:pPr>
        <w:spacing w:line="600" w:lineRule="exact"/>
        <w:ind w:firstLine="640"/>
        <w:outlineLvl w:val="2"/>
        <w:rPr>
          <w:rFonts w:ascii="仿宋" w:hAnsi="仿宋" w:eastAsia="仿宋"/>
          <w:b/>
          <w:color w:val="auto"/>
          <w:sz w:val="32"/>
          <w:szCs w:val="32"/>
          <w:highlight w:val="none"/>
        </w:rPr>
      </w:pPr>
      <w:bookmarkStart w:id="38" w:name="_Toc30732"/>
      <w:r>
        <w:rPr>
          <w:rFonts w:hint="eastAsia" w:ascii="仿宋" w:hAnsi="仿宋" w:eastAsia="仿宋"/>
          <w:b/>
          <w:color w:val="auto"/>
          <w:sz w:val="32"/>
          <w:szCs w:val="32"/>
          <w:highlight w:val="none"/>
        </w:rPr>
        <w:t>（二）“三公”经费财政拨款支出决算具体情况说明</w:t>
      </w:r>
      <w:bookmarkEnd w:id="37"/>
      <w:bookmarkEnd w:id="38"/>
    </w:p>
    <w:p>
      <w:pPr>
        <w:spacing w:line="600" w:lineRule="exact"/>
        <w:ind w:firstLine="640"/>
        <w:rPr>
          <w:rFonts w:ascii="仿宋" w:hAnsi="仿宋" w:eastAsia="仿宋"/>
          <w:color w:val="000000"/>
          <w:sz w:val="32"/>
          <w:szCs w:val="32"/>
        </w:rPr>
      </w:pPr>
      <w:bookmarkStart w:id="39" w:name="_Toc15396610"/>
      <w:bookmarkStart w:id="40" w:name="_Toc15377218"/>
      <w:r>
        <w:rPr>
          <w:rFonts w:hint="eastAsia" w:ascii="仿宋" w:hAnsi="仿宋" w:eastAsia="仿宋"/>
          <w:color w:val="000000"/>
          <w:sz w:val="32"/>
          <w:szCs w:val="32"/>
          <w:lang w:eastAsia="zh-CN"/>
        </w:rPr>
        <w:t>2022</w:t>
      </w:r>
      <w:r>
        <w:rPr>
          <w:rFonts w:hint="eastAsia" w:ascii="仿宋" w:hAnsi="仿宋" w:eastAsia="仿宋"/>
          <w:color w:val="000000"/>
          <w:sz w:val="32"/>
          <w:szCs w:val="32"/>
        </w:rPr>
        <w:t>年“三公”经费财政拨款支出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与</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21年持平，</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本年与上年无“三公”经费财政拨款</w:t>
      </w:r>
      <w:r>
        <w:rPr>
          <w:rFonts w:hint="eastAsia" w:ascii="仿宋" w:hAnsi="仿宋" w:eastAsia="仿宋"/>
          <w:color w:val="000000"/>
          <w:sz w:val="32"/>
          <w:szCs w:val="32"/>
          <w:lang w:eastAsia="zh-CN"/>
        </w:rPr>
        <w:t>。其中：</w:t>
      </w:r>
      <w:r>
        <w:rPr>
          <w:rFonts w:hint="eastAsia" w:ascii="仿宋" w:hAnsi="仿宋" w:eastAsia="仿宋"/>
          <w:color w:val="000000"/>
          <w:sz w:val="32"/>
          <w:szCs w:val="32"/>
        </w:rPr>
        <w:t>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600" w:lineRule="exact"/>
        <w:ind w:firstLine="640"/>
        <w:rPr>
          <w:rFonts w:hint="eastAsia" w:ascii="仿宋" w:hAnsi="仿宋" w:eastAsia="仿宋"/>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 w:hAnsi="仿宋" w:eastAsia="仿宋"/>
          <w:color w:val="000000"/>
          <w:sz w:val="32"/>
          <w:szCs w:val="32"/>
          <w:lang w:val="en-US" w:eastAsia="zh-CN"/>
        </w:rPr>
        <w:t>，与2021年持平，主要原因是本年与上年无因公出国（境）经费。全年</w:t>
      </w:r>
      <w:r>
        <w:rPr>
          <w:rFonts w:hint="eastAsia" w:ascii="仿宋_GB2312" w:eastAsia="仿宋_GB2312"/>
          <w:color w:val="000000"/>
          <w:sz w:val="32"/>
          <w:szCs w:val="32"/>
        </w:rPr>
        <w:t>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val="en-US" w:eastAsia="zh-CN"/>
        </w:rPr>
        <w:t>与</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本年与</w:t>
      </w:r>
      <w:r>
        <w:rPr>
          <w:rFonts w:hint="eastAsia" w:ascii="仿宋" w:hAnsi="仿宋" w:eastAsia="仿宋"/>
          <w:color w:val="000000"/>
          <w:sz w:val="32"/>
          <w:szCs w:val="32"/>
          <w:lang w:val="en-US" w:eastAsia="zh-CN"/>
        </w:rPr>
        <w:t>上年无因公出国（境）经费。</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val="en-US" w:eastAsia="zh-CN"/>
        </w:rPr>
        <w:t>与</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本年与上年无</w:t>
      </w:r>
      <w:r>
        <w:rPr>
          <w:rFonts w:hint="eastAsia" w:ascii="仿宋_GB2312" w:eastAsia="仿宋_GB2312"/>
          <w:b/>
          <w:color w:val="000000"/>
          <w:sz w:val="32"/>
          <w:szCs w:val="32"/>
        </w:rPr>
        <w:t>公务用车购置及运行维护</w:t>
      </w:r>
      <w:r>
        <w:rPr>
          <w:rFonts w:hint="eastAsia" w:ascii="仿宋_GB2312" w:eastAsia="仿宋_GB2312"/>
          <w:b/>
          <w:color w:val="000000"/>
          <w:sz w:val="32"/>
          <w:szCs w:val="32"/>
          <w:lang w:val="en-US" w:eastAsia="zh-CN"/>
        </w:rPr>
        <w:t>经费</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 w:hAnsi="仿宋" w:eastAsia="仿宋"/>
          <w:color w:val="000000"/>
          <w:sz w:val="32"/>
          <w:szCs w:val="32"/>
          <w:lang w:val="en-US" w:eastAsia="zh-CN"/>
        </w:rPr>
        <w:t>0万元，与2021年持平，主要原因是本年与上年无公务用车购置经费。全年按规定更新购置公务用车0辆，其中：轿车0辆、金额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3" w:firstLineChars="200"/>
        <w:rPr>
          <w:rFonts w:hint="eastAsia" w:ascii="仿宋" w:hAnsi="仿宋" w:eastAsia="仿宋"/>
          <w:color w:val="000000"/>
          <w:sz w:val="32"/>
          <w:szCs w:val="32"/>
          <w:lang w:val="en-US" w:eastAsia="zh-CN"/>
        </w:rPr>
      </w:pPr>
      <w:r>
        <w:rPr>
          <w:rFonts w:hint="eastAsia" w:ascii="仿宋_GB2312" w:eastAsia="仿宋_GB2312"/>
          <w:b/>
          <w:color w:val="000000"/>
          <w:sz w:val="32"/>
          <w:szCs w:val="32"/>
        </w:rPr>
        <w:t>公务用车运行维护费支出</w:t>
      </w:r>
      <w:r>
        <w:rPr>
          <w:rFonts w:hint="eastAsia" w:ascii="仿宋" w:hAnsi="仿宋" w:eastAsia="仿宋"/>
          <w:color w:val="000000"/>
          <w:sz w:val="32"/>
          <w:szCs w:val="32"/>
          <w:lang w:val="en-US" w:eastAsia="zh-CN"/>
        </w:rPr>
        <w:t>0万元，与2021年持平，主要原因是本年与上年无公务用车运行维护经费。</w:t>
      </w: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lang w:val="en-US" w:eastAsia="zh-CN"/>
        </w:rPr>
        <w:t>3.公务接待费支出0万元。公务接待费支出</w:t>
      </w:r>
      <w:r>
        <w:rPr>
          <w:rFonts w:hint="eastAsia" w:ascii="仿宋_GB2312" w:eastAsia="仿宋_GB2312"/>
          <w:color w:val="000000"/>
          <w:sz w:val="32"/>
          <w:szCs w:val="32"/>
        </w:rPr>
        <w:t>决算</w:t>
      </w:r>
      <w:r>
        <w:rPr>
          <w:rFonts w:hint="eastAsia" w:ascii="仿宋_GB2312" w:eastAsia="仿宋_GB2312"/>
          <w:color w:val="000000"/>
          <w:sz w:val="32"/>
          <w:szCs w:val="32"/>
          <w:lang w:val="en-US" w:eastAsia="zh-CN"/>
        </w:rPr>
        <w:t>与</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本年与上年无公务接待经费</w:t>
      </w:r>
      <w:r>
        <w:rPr>
          <w:rFonts w:hint="eastAsia" w:ascii="仿宋_GB2312" w:eastAsia="仿宋_GB2312"/>
          <w:color w:val="000000"/>
          <w:sz w:val="32"/>
          <w:szCs w:val="32"/>
        </w:rPr>
        <w:t>。其中：</w:t>
      </w:r>
    </w:p>
    <w:p>
      <w:pPr>
        <w:spacing w:line="600" w:lineRule="exact"/>
        <w:ind w:firstLine="643" w:firstLineChars="200"/>
        <w:rPr>
          <w:rFonts w:hint="eastAsia" w:ascii="仿宋" w:hAnsi="仿宋" w:eastAsia="仿宋"/>
          <w:color w:val="000000"/>
          <w:sz w:val="32"/>
          <w:szCs w:val="32"/>
          <w:lang w:val="en-US" w:eastAsia="zh-CN"/>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 w:hAnsi="仿宋" w:eastAsia="仿宋"/>
          <w:color w:val="000000"/>
          <w:sz w:val="32"/>
          <w:szCs w:val="32"/>
          <w:lang w:val="en-US" w:eastAsia="zh-CN"/>
        </w:rPr>
        <w:t>，与2021年持平，主要原因是本年与上年无公务接待经费。国内公务接待0批次，0人次（不包括陪同人员），共计支出0万元。</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外事接待支出0万元，与2021年持平，主要原因是本年与上年无外事接待经费。外事接待0批次，0人，共计支出0万元。</w:t>
      </w:r>
    </w:p>
    <w:p>
      <w:pPr>
        <w:spacing w:line="600" w:lineRule="exact"/>
        <w:ind w:firstLine="640"/>
        <w:rPr>
          <w:rFonts w:hint="default" w:ascii="仿宋_GB2312" w:eastAsia="仿宋_GB2312"/>
          <w:color w:val="auto"/>
          <w:sz w:val="32"/>
          <w:szCs w:val="32"/>
          <w:highlight w:val="none"/>
          <w:lang w:val="en-US" w:eastAsia="zh-CN"/>
        </w:rPr>
      </w:pPr>
    </w:p>
    <w:p>
      <w:pPr>
        <w:spacing w:line="600" w:lineRule="exact"/>
        <w:outlineLvl w:val="1"/>
        <w:rPr>
          <w:rStyle w:val="16"/>
          <w:rFonts w:ascii="黑体" w:hAnsi="黑体" w:eastAsia="黑体"/>
          <w:color w:val="auto"/>
          <w:highlight w:val="none"/>
        </w:rPr>
      </w:pPr>
      <w:bookmarkStart w:id="41" w:name="_Toc2968"/>
      <w:r>
        <w:rPr>
          <w:rFonts w:hint="eastAsia" w:ascii="黑体" w:eastAsia="黑体"/>
          <w:color w:val="auto"/>
          <w:sz w:val="32"/>
          <w:szCs w:val="32"/>
          <w:highlight w:val="none"/>
          <w:lang w:eastAsia="zh-CN"/>
        </w:rPr>
        <w:t>九</w:t>
      </w:r>
      <w:r>
        <w:rPr>
          <w:rFonts w:hint="eastAsia" w:ascii="黑体" w:eastAsia="黑体"/>
          <w:color w:val="auto"/>
          <w:sz w:val="32"/>
          <w:szCs w:val="32"/>
          <w:highlight w:val="none"/>
        </w:rPr>
        <w:t>、</w:t>
      </w:r>
      <w:r>
        <w:rPr>
          <w:rStyle w:val="16"/>
          <w:rFonts w:hint="eastAsia" w:ascii="黑体" w:hAnsi="黑体" w:eastAsia="黑体"/>
          <w:b w:val="0"/>
          <w:color w:val="auto"/>
          <w:highlight w:val="none"/>
        </w:rPr>
        <w:t>政府性基金预算支出决算情况说明</w:t>
      </w:r>
      <w:bookmarkEnd w:id="39"/>
      <w:bookmarkEnd w:id="40"/>
      <w:bookmarkEnd w:id="41"/>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outlineLvl w:val="1"/>
        <w:rPr>
          <w:rStyle w:val="16"/>
          <w:rFonts w:ascii="黑体" w:hAnsi="黑体" w:eastAsia="黑体"/>
          <w:b w:val="0"/>
          <w:color w:val="auto"/>
          <w:highlight w:val="none"/>
        </w:rPr>
      </w:pPr>
      <w:bookmarkStart w:id="42" w:name="_Toc6268"/>
      <w:bookmarkStart w:id="43" w:name="_Toc15396611"/>
      <w:bookmarkStart w:id="44" w:name="_Toc15377219"/>
      <w:r>
        <w:rPr>
          <w:rStyle w:val="16"/>
          <w:rFonts w:hint="eastAsia" w:ascii="黑体" w:hAnsi="黑体" w:eastAsia="黑体"/>
          <w:b w:val="0"/>
          <w:color w:val="auto"/>
          <w:highlight w:val="none"/>
          <w:lang w:eastAsia="zh-CN"/>
        </w:rPr>
        <w:t>十、</w:t>
      </w:r>
      <w:r>
        <w:rPr>
          <w:rStyle w:val="16"/>
          <w:rFonts w:hint="eastAsia" w:ascii="黑体" w:hAnsi="黑体" w:eastAsia="黑体"/>
          <w:b w:val="0"/>
          <w:color w:val="auto"/>
          <w:highlight w:val="none"/>
        </w:rPr>
        <w:t>国有资本经营预算支出决算情况说明</w:t>
      </w:r>
      <w:bookmarkEnd w:id="42"/>
      <w:bookmarkEnd w:id="43"/>
      <w:bookmarkEnd w:id="44"/>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8"/>
        </w:numPr>
        <w:spacing w:line="600" w:lineRule="exact"/>
        <w:outlineLvl w:val="1"/>
        <w:rPr>
          <w:rFonts w:hint="eastAsia" w:ascii="方正黑体_GBK" w:eastAsia="方正黑体_GBK" w:cs="方正黑体_GBK"/>
          <w:kern w:val="2"/>
          <w:sz w:val="33"/>
          <w:szCs w:val="33"/>
          <w:lang w:val="en-US" w:eastAsia="zh-CN" w:bidi="ar-SA"/>
        </w:rPr>
      </w:pPr>
      <w:bookmarkStart w:id="45" w:name="_Toc26535"/>
      <w:r>
        <w:rPr>
          <w:rFonts w:hint="eastAsia" w:ascii="方正黑体_GBK" w:eastAsia="方正黑体_GBK" w:cs="方正黑体_GBK"/>
          <w:kern w:val="2"/>
          <w:sz w:val="33"/>
          <w:szCs w:val="33"/>
          <w:lang w:val="en-US" w:eastAsia="zh-CN" w:bidi="ar-SA"/>
        </w:rPr>
        <w:t>其他重要事项的情况说明</w:t>
      </w:r>
    </w:p>
    <w:bookmarkEnd w:id="45"/>
    <w:p>
      <w:pPr>
        <w:numPr>
          <w:ilvl w:val="0"/>
          <w:numId w:val="0"/>
        </w:numPr>
        <w:spacing w:line="600" w:lineRule="exact"/>
        <w:outlineLvl w:val="1"/>
        <w:rPr>
          <w:rFonts w:hint="eastAsia" w:ascii="仿宋" w:hAnsi="仿宋" w:eastAsia="仿宋"/>
          <w:b/>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cs="Times New Roman"/>
          <w:b/>
          <w:color w:val="000000"/>
          <w:kern w:val="0"/>
          <w:sz w:val="32"/>
          <w:szCs w:val="32"/>
          <w:lang w:val="en-US" w:eastAsia="zh-CN" w:bidi="ar"/>
        </w:rPr>
        <w:t>（一）机关运行经费支出情况</w:t>
      </w:r>
    </w:p>
    <w:p>
      <w:pPr>
        <w:spacing w:line="580" w:lineRule="exact"/>
        <w:ind w:firstLine="645"/>
        <w:rPr>
          <w:rFonts w:hint="default" w:ascii="黑体" w:hAnsi="黑体" w:eastAsia="黑体" w:cs="黑体"/>
          <w:color w:val="2B2B2B"/>
          <w:sz w:val="32"/>
          <w:szCs w:val="32"/>
          <w:shd w:val="clear" w:color="auto" w:fill="FFFFFF"/>
          <w:lang w:val="en-US" w:eastAsia="zh-CN" w:bidi="ar-SA"/>
        </w:rPr>
      </w:pPr>
      <w:r>
        <w:rPr>
          <w:rFonts w:hint="eastAsia" w:ascii="仿宋_GB2312" w:eastAsia="仿宋_GB2312"/>
          <w:color w:val="000000"/>
          <w:sz w:val="32"/>
          <w:szCs w:val="32"/>
          <w:lang w:val="en-US" w:eastAsia="zh-CN"/>
        </w:rPr>
        <w:t>2022年广安区妇幼保健计划生育服务中心机关运行经费支出0万元，</w:t>
      </w:r>
      <w:r>
        <w:rPr>
          <w:rFonts w:hint="eastAsia" w:ascii="仿宋_GB2312" w:eastAsia="仿宋_GB2312"/>
          <w:color w:val="000000"/>
          <w:sz w:val="32"/>
          <w:szCs w:val="32"/>
        </w:rPr>
        <w:t>与</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年决算数持平</w:t>
      </w:r>
      <w:r>
        <w:rPr>
          <w:rFonts w:hint="eastAsia" w:ascii="仿宋_GB2312" w:eastAsia="仿宋_GB2312"/>
          <w:color w:val="000000"/>
          <w:sz w:val="32"/>
          <w:szCs w:val="32"/>
          <w:lang w:val="en-US" w:eastAsia="zh-CN"/>
        </w:rPr>
        <w:t>。主要原因是本年与上年无机关运行经费。</w:t>
      </w:r>
    </w:p>
    <w:p>
      <w:pPr>
        <w:pStyle w:val="6"/>
        <w:numPr>
          <w:ilvl w:val="0"/>
          <w:numId w:val="0"/>
        </w:numPr>
        <w:ind w:firstLine="643" w:firstLineChars="200"/>
        <w:rPr>
          <w:rFonts w:hint="eastAsia"/>
          <w:lang w:val="en-US" w:eastAsia="zh-CN"/>
        </w:rPr>
      </w:pPr>
      <w:bookmarkStart w:id="46" w:name="_Toc15377223"/>
      <w:r>
        <w:rPr>
          <w:rFonts w:hint="eastAsia" w:ascii="仿宋" w:hAnsi="仿宋" w:eastAsia="仿宋" w:cs="Times New Roman"/>
          <w:b/>
          <w:color w:val="000000"/>
          <w:kern w:val="0"/>
          <w:sz w:val="32"/>
          <w:szCs w:val="32"/>
          <w:lang w:val="en-US" w:eastAsia="zh-CN" w:bidi="ar"/>
        </w:rPr>
        <w:t>（二）政府采购支出情况</w:t>
      </w:r>
      <w:bookmarkEnd w:id="46"/>
    </w:p>
    <w:p>
      <w:pPr>
        <w:spacing w:line="600" w:lineRule="exact"/>
        <w:ind w:firstLine="640" w:firstLineChars="200"/>
        <w:rPr>
          <w:rFonts w:ascii="仿宋_GB2312" w:eastAsia="仿宋_GB2312"/>
          <w:color w:val="000000"/>
          <w:sz w:val="32"/>
          <w:szCs w:val="32"/>
        </w:rPr>
      </w:pPr>
      <w:r>
        <w:rPr>
          <w:rFonts w:hint="eastAsia" w:ascii="仿宋_GB2312" w:eastAsia="仿宋_GB2312" w:cs="Times New Roman"/>
          <w:color w:val="000000"/>
          <w:kern w:val="2"/>
          <w:sz w:val="32"/>
          <w:szCs w:val="32"/>
          <w:lang w:val="en-US" w:eastAsia="zh-CN" w:bidi="ar-SA"/>
        </w:rPr>
        <w:t>2022</w:t>
      </w:r>
      <w:r>
        <w:rPr>
          <w:rFonts w:hint="eastAsia" w:ascii="仿宋_GB2312" w:hAnsi="Times New Roman" w:eastAsia="仿宋_GB2312" w:cs="Times New Roman"/>
          <w:color w:val="000000"/>
          <w:kern w:val="2"/>
          <w:sz w:val="32"/>
          <w:szCs w:val="32"/>
          <w:lang w:val="en-US" w:eastAsia="zh-CN" w:bidi="ar-SA"/>
        </w:rPr>
        <w:t>年</w:t>
      </w:r>
      <w:r>
        <w:rPr>
          <w:rFonts w:hint="eastAsia" w:ascii="仿宋_GB2312"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广安区妇幼保健计划生育服务中心政府采购</w:t>
      </w:r>
      <w:r>
        <w:rPr>
          <w:rFonts w:hint="eastAsia" w:ascii="仿宋_GB2312" w:eastAsia="仿宋_GB2312" w:cs="Times New Roman"/>
          <w:color w:val="000000"/>
          <w:kern w:val="2"/>
          <w:sz w:val="32"/>
          <w:szCs w:val="32"/>
          <w:lang w:val="en-US" w:eastAsia="zh-CN" w:bidi="ar-SA"/>
        </w:rPr>
        <w:t>支出总额0万元，</w:t>
      </w:r>
      <w:r>
        <w:rPr>
          <w:rFonts w:hint="eastAsia" w:ascii="仿宋_GB2312" w:eastAsia="仿宋_GB2312"/>
          <w:color w:val="000000"/>
          <w:sz w:val="32"/>
          <w:szCs w:val="32"/>
        </w:rPr>
        <w:t>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_GB2312" w:hAnsi="Times New Roman" w:eastAsia="仿宋_GB2312" w:cs="Times New Roman"/>
          <w:color w:val="000000"/>
          <w:kern w:val="2"/>
          <w:sz w:val="32"/>
          <w:szCs w:val="32"/>
          <w:lang w:val="en-US" w:eastAsia="zh-CN" w:bidi="ar-SA"/>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rPr>
          <w:rFonts w:hint="eastAsia" w:ascii="仿宋" w:hAnsi="仿宋" w:eastAsia="仿宋"/>
          <w:b/>
          <w:color w:val="000000"/>
          <w:sz w:val="32"/>
          <w:szCs w:val="32"/>
          <w:lang w:val="en-US" w:eastAsia="zh-CN"/>
        </w:rPr>
      </w:pPr>
      <w:bookmarkStart w:id="47" w:name="_Toc26888"/>
      <w:bookmarkStart w:id="48" w:name="_Toc26942"/>
      <w:r>
        <w:rPr>
          <w:rFonts w:hint="eastAsia" w:ascii="仿宋" w:hAnsi="仿宋" w:eastAsia="仿宋"/>
          <w:b/>
          <w:color w:val="000000"/>
          <w:sz w:val="32"/>
          <w:szCs w:val="32"/>
          <w:lang w:val="en-US" w:eastAsia="zh-CN"/>
        </w:rPr>
        <w:t>（三）国有资产占有使用情况</w:t>
      </w:r>
      <w:bookmarkEnd w:id="47"/>
      <w:bookmarkEnd w:id="48"/>
    </w:p>
    <w:p>
      <w:pPr>
        <w:pStyle w:val="2"/>
        <w:numPr>
          <w:ilvl w:val="0"/>
          <w:numId w:val="0"/>
        </w:numPr>
        <w:ind w:firstLine="640" w:firstLineChars="200"/>
        <w:rPr>
          <w:rFonts w:hint="eastAsia" w:ascii="Times New Roman" w:hAnsi="Times New Roman" w:eastAsia="仿宋_GB2312" w:cs="仿宋_GB2312"/>
          <w:sz w:val="32"/>
          <w:szCs w:val="32"/>
          <w:highlight w:val="none"/>
          <w:lang w:val="en-US" w:eastAsia="zh-CN"/>
        </w:rPr>
      </w:pPr>
      <w:r>
        <w:rPr>
          <w:rFonts w:hint="eastAsia" w:ascii="仿宋_GB2312" w:hAnsi="Times New Roman" w:eastAsia="仿宋_GB2312" w:cs="Times New Roman"/>
          <w:color w:val="000000"/>
          <w:kern w:val="2"/>
          <w:sz w:val="32"/>
          <w:szCs w:val="32"/>
          <w:lang w:val="en-US" w:eastAsia="zh-CN" w:bidi="ar-SA"/>
        </w:rPr>
        <w:t>截至</w:t>
      </w:r>
      <w:r>
        <w:rPr>
          <w:rFonts w:hint="eastAsia" w:cs="Times New Roman"/>
          <w:color w:val="000000"/>
          <w:kern w:val="2"/>
          <w:sz w:val="32"/>
          <w:szCs w:val="32"/>
          <w:lang w:val="en-US" w:eastAsia="zh-CN" w:bidi="ar-SA"/>
        </w:rPr>
        <w:t>2022</w:t>
      </w:r>
      <w:r>
        <w:rPr>
          <w:rFonts w:hint="eastAsia" w:ascii="仿宋_GB2312" w:hAnsi="Times New Roman" w:eastAsia="仿宋_GB2312" w:cs="Times New Roman"/>
          <w:color w:val="000000"/>
          <w:kern w:val="2"/>
          <w:sz w:val="32"/>
          <w:szCs w:val="32"/>
          <w:lang w:val="en-US" w:eastAsia="zh-CN" w:bidi="ar-SA"/>
        </w:rPr>
        <w:t>年12月31日，广安区妇幼保健计划生育服务中心共有车辆2辆，其中：</w:t>
      </w:r>
      <w:r>
        <w:rPr>
          <w:rFonts w:hint="eastAsia" w:ascii="仿宋_GB2312" w:eastAsia="仿宋_GB2312"/>
          <w:color w:val="000000"/>
          <w:sz w:val="32"/>
          <w:szCs w:val="32"/>
        </w:rPr>
        <w:t>主要领导干部用车</w:t>
      </w:r>
      <w:r>
        <w:rPr>
          <w:rFonts w:hint="eastAsia"/>
          <w:color w:val="000000"/>
          <w:sz w:val="32"/>
          <w:szCs w:val="32"/>
          <w:lang w:val="en-US" w:eastAsia="zh-CN"/>
        </w:rPr>
        <w:t>0</w:t>
      </w:r>
      <w:r>
        <w:rPr>
          <w:rFonts w:hint="eastAsia" w:ascii="仿宋_GB2312" w:eastAsia="仿宋_GB2312"/>
          <w:color w:val="000000"/>
          <w:sz w:val="32"/>
          <w:szCs w:val="32"/>
        </w:rPr>
        <w:t>辆、机要通信用车</w:t>
      </w:r>
      <w:r>
        <w:rPr>
          <w:rFonts w:hint="eastAsia"/>
          <w:color w:val="000000"/>
          <w:sz w:val="32"/>
          <w:szCs w:val="32"/>
          <w:lang w:val="en-US" w:eastAsia="zh-CN"/>
        </w:rPr>
        <w:t>0</w:t>
      </w:r>
      <w:r>
        <w:rPr>
          <w:rFonts w:hint="eastAsia" w:ascii="仿宋_GB2312" w:eastAsia="仿宋_GB2312"/>
          <w:color w:val="000000"/>
          <w:sz w:val="32"/>
          <w:szCs w:val="32"/>
        </w:rPr>
        <w:t>辆、应急保障用车</w:t>
      </w:r>
      <w:r>
        <w:rPr>
          <w:rFonts w:hint="eastAsia"/>
          <w:color w:val="000000"/>
          <w:sz w:val="32"/>
          <w:szCs w:val="32"/>
          <w:lang w:val="en-US" w:eastAsia="zh-CN"/>
        </w:rPr>
        <w:t>0</w:t>
      </w:r>
      <w:r>
        <w:rPr>
          <w:rFonts w:hint="eastAsia" w:ascii="仿宋_GB2312" w:eastAsia="仿宋_GB2312"/>
          <w:color w:val="000000"/>
          <w:sz w:val="32"/>
          <w:szCs w:val="32"/>
        </w:rPr>
        <w:t>辆、</w:t>
      </w:r>
      <w:r>
        <w:rPr>
          <w:rFonts w:hint="eastAsia" w:ascii="仿宋_GB2312" w:hAnsi="Times New Roman" w:eastAsia="仿宋_GB2312" w:cs="Times New Roman"/>
          <w:color w:val="000000"/>
          <w:kern w:val="2"/>
          <w:sz w:val="32"/>
          <w:szCs w:val="32"/>
          <w:lang w:val="en-US" w:eastAsia="zh-CN" w:bidi="ar-SA"/>
        </w:rPr>
        <w:t>其他用车</w:t>
      </w:r>
      <w:r>
        <w:rPr>
          <w:rFonts w:hint="eastAsia" w:cs="Times New Roman"/>
          <w:color w:val="000000"/>
          <w:kern w:val="2"/>
          <w:sz w:val="32"/>
          <w:szCs w:val="32"/>
          <w:lang w:val="en-US" w:eastAsia="zh-CN" w:bidi="ar-SA"/>
        </w:rPr>
        <w:t>2</w:t>
      </w:r>
      <w:r>
        <w:rPr>
          <w:rFonts w:hint="eastAsia" w:ascii="仿宋_GB2312" w:hAnsi="Times New Roman" w:eastAsia="仿宋_GB2312" w:cs="Times New Roman"/>
          <w:color w:val="000000"/>
          <w:kern w:val="2"/>
          <w:sz w:val="32"/>
          <w:szCs w:val="32"/>
          <w:lang w:val="en-US" w:eastAsia="zh-CN" w:bidi="ar-SA"/>
        </w:rPr>
        <w:t>辆</w:t>
      </w:r>
      <w:r>
        <w:rPr>
          <w:rFonts w:hint="eastAsia" w:cs="Times New Roman"/>
          <w:color w:val="000000"/>
          <w:kern w:val="2"/>
          <w:sz w:val="32"/>
          <w:szCs w:val="32"/>
          <w:lang w:val="en-US" w:eastAsia="zh-CN" w:bidi="ar-SA"/>
        </w:rPr>
        <w:t>，其他用车主要是用于运转患者等</w:t>
      </w:r>
      <w:r>
        <w:rPr>
          <w:rFonts w:hint="eastAsia" w:ascii="仿宋_GB2312" w:hAnsi="Times New Roman" w:eastAsia="仿宋_GB2312" w:cs="Times New Roman"/>
          <w:color w:val="000000"/>
          <w:kern w:val="2"/>
          <w:sz w:val="32"/>
          <w:szCs w:val="32"/>
          <w:lang w:val="en-US" w:eastAsia="zh-CN" w:bidi="ar-SA"/>
        </w:rPr>
        <w:t>；单价50万元以上通用设备0台（套），单价100万元以上的专用设备6台（套）。</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 w:hAnsi="仿宋" w:eastAsia="仿宋"/>
          <w:b/>
          <w:color w:val="000000"/>
          <w:sz w:val="32"/>
          <w:szCs w:val="32"/>
        </w:rPr>
        <w:t>（四）预算绩效管理情况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年部门整体支出开展绩效自评，从评价情况来看，根据年初工作规划和重点性工作，全</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上下团结一心，迎难而上，加压奋进，锐意进取，各项工作取得了较大成绩，较好的完成了年度工作目标。通过加强预算收支管理，不断建立健全内部管理制度，梳理内部管理流程，部门整体支出管理情况得到提升。</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1.项目绩效目标完成情况。</w:t>
      </w:r>
    </w:p>
    <w:tbl>
      <w:tblPr>
        <w:tblStyle w:val="13"/>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lang w:eastAsia="zh-CN"/>
              </w:rPr>
              <w:t>（</w:t>
            </w:r>
            <w:r>
              <w:rPr>
                <w:rFonts w:hint="eastAsia" w:ascii="宋体" w:hAnsi="宋体" w:cs="宋体"/>
                <w:b/>
                <w:bCs/>
                <w:color w:val="000000"/>
                <w:kern w:val="0"/>
                <w:sz w:val="36"/>
                <w:szCs w:val="36"/>
                <w:lang w:val="en-US" w:eastAsia="zh-CN"/>
              </w:rPr>
              <w:t>此表无数据</w:t>
            </w:r>
            <w:r>
              <w:rPr>
                <w:rFonts w:hint="eastAsia" w:ascii="宋体" w:hAnsi="宋体" w:cs="宋体"/>
                <w:b/>
                <w:bCs/>
                <w:color w:val="000000"/>
                <w:kern w:val="0"/>
                <w:sz w:val="36"/>
                <w:szCs w:val="36"/>
                <w:lang w:eastAsia="zh-CN"/>
              </w:rPr>
              <w:t>）</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2022</w:t>
            </w:r>
            <w:r>
              <w:rPr>
                <w:rFonts w:hint="eastAsia" w:ascii="宋体" w:hAnsi="宋体" w:cs="宋体"/>
                <w:color w:val="000000"/>
                <w:kern w:val="0"/>
                <w:sz w:val="36"/>
                <w:szCs w:val="36"/>
              </w:rPr>
              <w:t>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仿宋_GB2312" w:hAnsi="仿宋_GB2312" w:eastAsia="仿宋_GB2312" w:cs="仿宋_GB2312"/>
                <w:sz w:val="32"/>
                <w:szCs w:val="32"/>
                <w:lang w:val="en-US" w:eastAsia="zh-CN"/>
              </w:rPr>
              <w:t>无</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广安区</w:t>
            </w:r>
            <w:r>
              <w:rPr>
                <w:rFonts w:hint="eastAsia" w:ascii="宋体" w:hAnsi="宋体" w:cs="宋体"/>
                <w:color w:val="000000"/>
                <w:sz w:val="24"/>
                <w:lang w:val="en-US" w:eastAsia="zh-CN"/>
              </w:rPr>
              <w:t>妇幼保健计划生育服务中心</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66"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default" w:ascii="仿宋_GB2312" w:hAnsi="仿宋_GB2312" w:eastAsia="仿宋_GB2312" w:cs="仿宋_GB2312"/>
          <w:sz w:val="32"/>
          <w:szCs w:val="32"/>
          <w:lang w:val="en-US" w:eastAsia="zh-CN"/>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广安区</w:t>
      </w:r>
      <w:r>
        <w:rPr>
          <w:rFonts w:hint="eastAsia" w:ascii="仿宋_GB2312" w:hAnsi="仿宋_GB2312" w:eastAsia="仿宋_GB2312" w:cs="仿宋_GB2312"/>
          <w:b/>
          <w:bCs/>
          <w:sz w:val="32"/>
          <w:szCs w:val="32"/>
          <w:lang w:val="en-US" w:eastAsia="zh-CN"/>
        </w:rPr>
        <w:t>妇幼保健计划生育服务中心2022年</w:t>
      </w:r>
      <w:r>
        <w:rPr>
          <w:rFonts w:hint="eastAsia" w:ascii="仿宋_GB2312" w:hAnsi="仿宋_GB2312" w:eastAsia="仿宋_GB2312" w:cs="仿宋_GB2312"/>
          <w:b/>
          <w:bCs/>
          <w:sz w:val="32"/>
          <w:szCs w:val="32"/>
        </w:rPr>
        <w:t>整体</w:t>
      </w:r>
      <w:r>
        <w:rPr>
          <w:rFonts w:hint="eastAsia" w:ascii="仿宋_GB2312" w:hAnsi="仿宋_GB2312" w:eastAsia="仿宋_GB2312" w:cs="仿宋_GB2312"/>
          <w:b/>
          <w:bCs/>
          <w:sz w:val="32"/>
          <w:szCs w:val="32"/>
          <w:lang w:val="en-US" w:eastAsia="zh-CN"/>
        </w:rPr>
        <w:t>支出</w:t>
      </w:r>
      <w:r>
        <w:rPr>
          <w:rFonts w:hint="eastAsia" w:ascii="仿宋_GB2312" w:hAnsi="仿宋_GB2312" w:eastAsia="仿宋_GB2312" w:cs="仿宋_GB2312"/>
          <w:b/>
          <w:bCs/>
          <w:sz w:val="32"/>
          <w:szCs w:val="32"/>
        </w:rPr>
        <w:t>绩效评价报告》见附件（附件1）。</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eastAsia="zh-CN"/>
        </w:rPr>
        <w:t>2022</w:t>
      </w:r>
      <w:r>
        <w:rPr>
          <w:rFonts w:hint="eastAsia" w:ascii="仿宋_GB2312" w:hAnsi="仿宋_GB2312" w:eastAsia="仿宋_GB2312" w:cs="仿宋_GB2312"/>
          <w:b/>
          <w:bCs/>
          <w:sz w:val="32"/>
          <w:szCs w:val="32"/>
        </w:rPr>
        <w:t>年绩效评价报告》见附件（附件2）</w:t>
      </w:r>
      <w:r>
        <w:rPr>
          <w:rFonts w:hint="eastAsia" w:ascii="仿宋_GB2312" w:hAnsi="仿宋_GB2312" w:eastAsia="仿宋_GB2312" w:cs="仿宋_GB2312"/>
          <w:b/>
          <w:bCs/>
          <w:sz w:val="32"/>
          <w:szCs w:val="32"/>
          <w:lang w:eastAsia="zh-CN"/>
        </w:rPr>
        <w:t>（</w:t>
      </w:r>
      <w:r>
        <w:rPr>
          <w:rFonts w:hint="eastAsia" w:ascii="Times New Roman" w:hAnsi="仿宋_GB2312" w:eastAsia="宋体" w:cs="仿宋_GB2312"/>
          <w:b/>
          <w:bCs/>
          <w:kern w:val="2"/>
          <w:sz w:val="32"/>
          <w:szCs w:val="32"/>
          <w:lang w:val="en-US" w:eastAsia="zh-CN" w:bidi="ar-SA"/>
        </w:rPr>
        <w:t>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p>
    <w:p>
      <w:pPr>
        <w:pStyle w:val="6"/>
        <w:numPr>
          <w:ilvl w:val="0"/>
          <w:numId w:val="0"/>
        </w:numPr>
        <w:ind w:firstLine="640"/>
        <w:rPr>
          <w:rFonts w:hint="eastAsia" w:ascii="仿宋_GB2312" w:hAnsi="仿宋_GB2312" w:eastAsia="仿宋_GB2312" w:cs="仿宋_GB2312"/>
          <w:b/>
          <w:bCs/>
          <w:sz w:val="32"/>
          <w:szCs w:val="32"/>
        </w:rPr>
      </w:pPr>
      <w:r>
        <w:rPr>
          <w:rFonts w:hint="eastAsia" w:hAnsi="仿宋_GB2312" w:cs="仿宋_GB2312"/>
          <w:sz w:val="32"/>
          <w:szCs w:val="32"/>
          <w:lang w:val="en-US" w:eastAsia="zh-CN"/>
        </w:rPr>
        <w:t>本部门</w:t>
      </w:r>
      <w:r>
        <w:rPr>
          <w:rFonts w:hint="eastAsia" w:hAnsi="仿宋_GB2312" w:cs="仿宋_GB2312"/>
          <w:b/>
          <w:bCs/>
          <w:sz w:val="32"/>
          <w:szCs w:val="32"/>
          <w:lang w:val="en-US" w:eastAsia="zh-CN"/>
        </w:rPr>
        <w:t>《100万元以上（含）特定目标类部门预算项目绩效目标自评表》</w:t>
      </w:r>
      <w:r>
        <w:rPr>
          <w:rFonts w:hint="eastAsia" w:ascii="仿宋_GB2312" w:hAnsi="仿宋_GB2312" w:eastAsia="仿宋_GB2312" w:cs="仿宋_GB2312"/>
          <w:b/>
          <w:bCs/>
          <w:sz w:val="32"/>
          <w:szCs w:val="32"/>
        </w:rPr>
        <w:t>（附件</w:t>
      </w:r>
      <w:r>
        <w:rPr>
          <w:rFonts w:hint="eastAsia" w:hAnsi="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hAnsi="仿宋_GB2312" w:cs="仿宋_GB2312"/>
          <w:b/>
          <w:bCs/>
          <w:sz w:val="32"/>
          <w:szCs w:val="32"/>
          <w:lang w:eastAsia="zh-CN"/>
        </w:rPr>
        <w:t>（无）</w:t>
      </w:r>
      <w:r>
        <w:rPr>
          <w:rFonts w:hint="eastAsia" w:ascii="仿宋_GB2312" w:hAnsi="仿宋_GB2312" w:eastAsia="仿宋_GB2312" w:cs="仿宋_GB2312"/>
          <w:b/>
          <w:bCs/>
          <w:sz w:val="32"/>
          <w:szCs w:val="32"/>
        </w:rPr>
        <w:t>。</w:t>
      </w:r>
    </w:p>
    <w:p>
      <w:pPr>
        <w:pStyle w:val="6"/>
        <w:numPr>
          <w:ilvl w:val="0"/>
          <w:numId w:val="0"/>
        </w:numPr>
        <w:ind w:firstLine="640"/>
        <w:rPr>
          <w:rFonts w:hint="eastAsia" w:ascii="仿宋_GB2312" w:hAnsi="仿宋_GB2312" w:eastAsia="仿宋_GB2312" w:cs="仿宋_GB2312"/>
          <w:b/>
          <w:bCs/>
          <w:sz w:val="32"/>
          <w:szCs w:val="32"/>
          <w:lang w:val="en-US" w:eastAsia="zh-CN"/>
        </w:rPr>
      </w:pPr>
    </w:p>
    <w:p>
      <w:pPr>
        <w:numPr>
          <w:ilvl w:val="0"/>
          <w:numId w:val="0"/>
        </w:numPr>
        <w:spacing w:line="600" w:lineRule="exact"/>
        <w:jc w:val="both"/>
        <w:outlineLvl w:val="0"/>
        <w:rPr>
          <w:rStyle w:val="17"/>
          <w:rFonts w:ascii="黑体" w:hAnsi="黑体" w:eastAsia="黑体"/>
          <w:b w:val="0"/>
          <w:color w:val="auto"/>
          <w:highlight w:val="none"/>
        </w:rPr>
      </w:pPr>
      <w:bookmarkStart w:id="49" w:name="_Toc29520"/>
      <w:bookmarkStart w:id="50" w:name="_Toc15396613"/>
      <w:bookmarkStart w:id="51" w:name="_Toc15377225"/>
    </w:p>
    <w:p>
      <w:pPr>
        <w:numPr>
          <w:ilvl w:val="0"/>
          <w:numId w:val="0"/>
        </w:numPr>
        <w:spacing w:line="600" w:lineRule="exact"/>
        <w:jc w:val="both"/>
        <w:outlineLvl w:val="0"/>
        <w:rPr>
          <w:rStyle w:val="17"/>
          <w:rFonts w:ascii="黑体" w:hAnsi="黑体" w:eastAsia="黑体"/>
          <w:b w:val="0"/>
          <w:color w:val="auto"/>
          <w:highlight w:val="none"/>
        </w:rPr>
      </w:pPr>
    </w:p>
    <w:p>
      <w:pPr>
        <w:numPr>
          <w:ilvl w:val="0"/>
          <w:numId w:val="9"/>
        </w:numPr>
        <w:spacing w:line="600" w:lineRule="exact"/>
        <w:ind w:firstLine="660" w:firstLineChars="150"/>
        <w:jc w:val="center"/>
        <w:outlineLvl w:val="0"/>
        <w:rPr>
          <w:rStyle w:val="17"/>
          <w:rFonts w:ascii="黑体" w:hAnsi="黑体" w:eastAsia="黑体"/>
          <w:b w:val="0"/>
          <w:color w:val="auto"/>
          <w:highlight w:val="none"/>
        </w:rPr>
      </w:pPr>
      <w:r>
        <w:rPr>
          <w:rFonts w:hint="eastAsia" w:ascii="黑体" w:hAnsi="黑体" w:eastAsia="黑体"/>
          <w:color w:val="auto"/>
          <w:sz w:val="44"/>
          <w:szCs w:val="44"/>
          <w:highlight w:val="none"/>
        </w:rPr>
        <w:t>名</w:t>
      </w:r>
      <w:r>
        <w:rPr>
          <w:rStyle w:val="17"/>
          <w:rFonts w:hint="eastAsia" w:ascii="黑体" w:hAnsi="黑体" w:eastAsia="黑体"/>
          <w:b w:val="0"/>
          <w:color w:val="auto"/>
          <w:highlight w:val="none"/>
        </w:rPr>
        <w:t>词解释</w:t>
      </w:r>
      <w:bookmarkEnd w:id="49"/>
      <w:bookmarkEnd w:id="50"/>
      <w:bookmarkEnd w:id="51"/>
    </w:p>
    <w:p>
      <w:pPr>
        <w:spacing w:line="600" w:lineRule="exact"/>
        <w:jc w:val="left"/>
        <w:rPr>
          <w:rFonts w:ascii="宋体"/>
          <w:b/>
          <w:color w:val="auto"/>
          <w:sz w:val="44"/>
          <w:szCs w:val="44"/>
          <w:highlight w:val="none"/>
        </w:rPr>
      </w:pPr>
    </w:p>
    <w:p>
      <w:pPr>
        <w:pStyle w:val="1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1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1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1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1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1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1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1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中华人民共和国</w:t>
      </w:r>
      <w:r>
        <w:rPr>
          <w:rFonts w:hint="eastAsia" w:ascii="Times New Roman" w:hAnsi="Times New Roman" w:eastAsia="仿宋_GB2312"/>
          <w:sz w:val="32"/>
          <w:szCs w:val="32"/>
          <w:highlight w:val="none"/>
        </w:rPr>
        <w:t>公务员法</w:t>
      </w:r>
      <w:r>
        <w:rPr>
          <w:rFonts w:hint="eastAsia" w:ascii="Times New Roman" w:hAnsi="Times New Roman" w:eastAsia="仿宋_GB2312"/>
          <w:sz w:val="32"/>
          <w:szCs w:val="32"/>
          <w:highlight w:val="none"/>
          <w:lang w:eastAsia="zh-CN"/>
        </w:rPr>
        <w:t>》</w:t>
      </w:r>
      <w:r>
        <w:rPr>
          <w:rFonts w:hint="eastAsia" w:ascii="仿宋_GB2312" w:eastAsia="仿宋_GB2312"/>
          <w:color w:val="auto"/>
          <w:sz w:val="32"/>
          <w:szCs w:val="32"/>
          <w:highlight w:val="none"/>
        </w:rPr>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8"/>
        <w:spacing w:line="560" w:lineRule="exact"/>
        <w:ind w:firstLine="640" w:firstLineChars="200"/>
        <w:rPr>
          <w:rFonts w:ascii="仿宋_GB2312" w:eastAsia="仿宋_GB2312"/>
          <w:color w:val="auto"/>
          <w:sz w:val="32"/>
          <w:szCs w:val="32"/>
          <w:highlight w:val="none"/>
        </w:rPr>
      </w:pPr>
    </w:p>
    <w:p>
      <w:pPr>
        <w:spacing w:line="600" w:lineRule="exact"/>
        <w:jc w:val="center"/>
        <w:outlineLvl w:val="0"/>
        <w:rPr>
          <w:rStyle w:val="17"/>
          <w:rFonts w:hint="eastAsia" w:ascii="黑体" w:hAnsi="黑体" w:eastAsia="黑体"/>
          <w:b w:val="0"/>
          <w:color w:val="auto"/>
          <w:highlight w:val="none"/>
          <w:lang w:eastAsia="zh-CN"/>
        </w:rPr>
      </w:pPr>
      <w:bookmarkStart w:id="52" w:name="_Toc15377226"/>
      <w:r>
        <w:rPr>
          <w:rFonts w:ascii="宋体"/>
          <w:b/>
          <w:color w:val="auto"/>
          <w:sz w:val="44"/>
          <w:szCs w:val="44"/>
          <w:highlight w:val="none"/>
        </w:rPr>
        <w:br w:type="page"/>
      </w:r>
      <w:bookmarkStart w:id="53" w:name="_Toc5316"/>
      <w:bookmarkStart w:id="54" w:name="_Toc15396614"/>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四部分 附件</w:t>
      </w:r>
      <w:bookmarkEnd w:id="53"/>
      <w:bookmarkEnd w:id="54"/>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方正小标宋简体" w:hAnsi="方正小标宋简体" w:eastAsia="黑体" w:cs="方正小标宋简体"/>
          <w:color w:val="auto"/>
          <w:sz w:val="44"/>
          <w:szCs w:val="44"/>
          <w:highlight w:val="none"/>
          <w:lang w:val="en-US" w:eastAsia="zh-CN"/>
        </w:rPr>
      </w:pPr>
      <w:bookmarkStart w:id="55" w:name="_Toc4942"/>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55"/>
    </w:p>
    <w:p>
      <w:pPr>
        <w:keepNext w:val="0"/>
        <w:keepLines w:val="0"/>
        <w:pageBreakBefore w:val="0"/>
        <w:kinsoku/>
        <w:wordWrap/>
        <w:overflowPunct/>
        <w:topLinePunct w:val="0"/>
        <w:autoSpaceDE/>
        <w:autoSpaceDN/>
        <w:bidi w:val="0"/>
        <w:spacing w:line="572" w:lineRule="exact"/>
        <w:jc w:val="center"/>
        <w:textAlignment w:val="auto"/>
        <w:outlineLvl w:val="0"/>
        <w:rPr>
          <w:rFonts w:ascii="方正小标宋简体" w:hAnsi="宋体" w:eastAsia="方正小标宋简体"/>
          <w:color w:val="auto"/>
          <w:kern w:val="0"/>
          <w:sz w:val="40"/>
          <w:szCs w:val="44"/>
          <w:highlight w:val="none"/>
          <w:lang w:val="zh-CN"/>
        </w:rPr>
      </w:pPr>
      <w:bookmarkStart w:id="56" w:name="_Toc7794"/>
      <w:r>
        <w:rPr>
          <w:rFonts w:hint="eastAsia" w:ascii="方正小标宋简体" w:hAnsi="宋体" w:eastAsia="方正小标宋简体"/>
          <w:color w:val="auto"/>
          <w:kern w:val="0"/>
          <w:sz w:val="40"/>
          <w:szCs w:val="44"/>
          <w:highlight w:val="none"/>
          <w:lang w:eastAsia="zh-CN"/>
        </w:rPr>
        <w:t>广安市广安区</w:t>
      </w:r>
      <w:r>
        <w:rPr>
          <w:rFonts w:hint="eastAsia" w:ascii="方正小标宋简体" w:hAnsi="宋体" w:eastAsia="方正小标宋简体"/>
          <w:color w:val="auto"/>
          <w:kern w:val="0"/>
          <w:sz w:val="40"/>
          <w:szCs w:val="44"/>
          <w:highlight w:val="none"/>
          <w:lang w:val="en-US" w:eastAsia="zh-CN"/>
        </w:rPr>
        <w:t>妇幼保健计划生育服务中心</w:t>
      </w:r>
      <w:r>
        <w:rPr>
          <w:rFonts w:hint="eastAsia" w:ascii="方正小标宋简体" w:hAnsi="宋体" w:eastAsia="方正小标宋简体"/>
          <w:color w:val="auto"/>
          <w:kern w:val="0"/>
          <w:sz w:val="40"/>
          <w:szCs w:val="44"/>
          <w:highlight w:val="none"/>
          <w:lang w:eastAsia="zh-CN"/>
        </w:rPr>
        <w:t>2022</w:t>
      </w:r>
      <w:r>
        <w:rPr>
          <w:rFonts w:hint="eastAsia" w:ascii="方正小标宋简体" w:hAnsi="宋体" w:eastAsia="方正小标宋简体"/>
          <w:color w:val="auto"/>
          <w:kern w:val="0"/>
          <w:sz w:val="40"/>
          <w:szCs w:val="44"/>
          <w:highlight w:val="none"/>
        </w:rPr>
        <w:t>年整体</w:t>
      </w:r>
      <w:r>
        <w:rPr>
          <w:rFonts w:hint="eastAsia" w:ascii="方正小标宋简体" w:hAnsi="宋体" w:eastAsia="方正小标宋简体"/>
          <w:color w:val="auto"/>
          <w:kern w:val="0"/>
          <w:sz w:val="40"/>
          <w:szCs w:val="44"/>
          <w:highlight w:val="none"/>
          <w:lang w:val="en-US" w:eastAsia="zh-CN"/>
        </w:rPr>
        <w:t>支出</w:t>
      </w:r>
      <w:r>
        <w:rPr>
          <w:rFonts w:hint="eastAsia" w:ascii="方正小标宋简体" w:hAnsi="宋体" w:eastAsia="方正小标宋简体"/>
          <w:color w:val="auto"/>
          <w:kern w:val="0"/>
          <w:sz w:val="40"/>
          <w:szCs w:val="44"/>
          <w:highlight w:val="none"/>
        </w:rPr>
        <w:t>绩效评价报告</w:t>
      </w:r>
      <w:bookmarkEnd w:id="56"/>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pStyle w:val="2"/>
        <w:adjustRightInd w:val="0"/>
        <w:snapToGrid w:val="0"/>
        <w:spacing w:line="600" w:lineRule="exact"/>
        <w:ind w:firstLine="672" w:firstLineChars="21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本单位下设办公室，医务科，保健科，婚检孕检科，住院部，门诊部，妇产科，儿科，财务科，后勤科，医技科等。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keepNext w:val="0"/>
        <w:keepLines w:val="0"/>
        <w:widowControl/>
        <w:suppressLineNumbers w:val="0"/>
        <w:shd w:val="clear" w:fill="FFFFFF"/>
        <w:spacing w:line="390" w:lineRule="atLeast"/>
        <w:ind w:left="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承担本区域居民的预防、医疗和保健任务。</w:t>
      </w:r>
    </w:p>
    <w:p>
      <w:pPr>
        <w:keepNext w:val="0"/>
        <w:keepLines w:val="0"/>
        <w:widowControl/>
        <w:suppressLineNumbers w:val="0"/>
        <w:shd w:val="clear" w:fill="FFFFFF"/>
        <w:spacing w:line="390" w:lineRule="atLeast"/>
        <w:ind w:left="0" w:firstLine="640" w:firstLine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default" w:ascii="仿宋" w:hAnsi="仿宋" w:eastAsia="仿宋" w:cs="仿宋"/>
          <w:kern w:val="2"/>
          <w:sz w:val="32"/>
          <w:szCs w:val="32"/>
          <w:lang w:val="en-US" w:eastAsia="zh-CN" w:bidi="ar-SA"/>
        </w:rPr>
        <w:t>区域内传染病、职业病和非传染性慢性病的防控。</w:t>
      </w:r>
    </w:p>
    <w:p>
      <w:pPr>
        <w:keepNext w:val="0"/>
        <w:keepLines w:val="0"/>
        <w:widowControl/>
        <w:suppressLineNumbers w:val="0"/>
        <w:shd w:val="clear" w:fill="FFFFFF"/>
        <w:spacing w:line="390" w:lineRule="atLeast"/>
        <w:ind w:left="0" w:firstLine="640" w:firstLine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区域内人群的健康教育工作。</w:t>
      </w:r>
    </w:p>
    <w:p>
      <w:pPr>
        <w:keepNext w:val="0"/>
        <w:keepLines w:val="0"/>
        <w:widowControl/>
        <w:suppressLineNumbers w:val="0"/>
        <w:shd w:val="clear" w:fill="FFFFFF"/>
        <w:spacing w:line="390" w:lineRule="atLeast"/>
        <w:ind w:left="0" w:firstLine="640" w:firstLine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w:t>
      </w:r>
      <w:r>
        <w:rPr>
          <w:rFonts w:hint="default" w:ascii="仿宋" w:hAnsi="仿宋" w:eastAsia="仿宋" w:cs="仿宋"/>
          <w:kern w:val="2"/>
          <w:sz w:val="32"/>
          <w:szCs w:val="32"/>
          <w:lang w:val="en-US" w:eastAsia="zh-CN" w:bidi="ar-SA"/>
        </w:rPr>
        <w:t>强化区域内医疗救治体系，有效应对各种</w:t>
      </w:r>
      <w:r>
        <w:rPr>
          <w:rFonts w:hint="eastAsia" w:ascii="仿宋" w:hAnsi="仿宋" w:eastAsia="仿宋" w:cs="仿宋"/>
          <w:kern w:val="2"/>
          <w:sz w:val="32"/>
          <w:szCs w:val="32"/>
          <w:lang w:val="en-US" w:eastAsia="zh-CN" w:bidi="ar-SA"/>
        </w:rPr>
        <w:t>突发公共卫生事件</w:t>
      </w:r>
      <w:r>
        <w:rPr>
          <w:rFonts w:hint="default" w:ascii="仿宋" w:hAnsi="仿宋" w:eastAsia="仿宋" w:cs="仿宋"/>
          <w:kern w:val="2"/>
          <w:sz w:val="32"/>
          <w:szCs w:val="32"/>
          <w:lang w:val="en-US" w:eastAsia="zh-CN" w:bidi="ar-SA"/>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hint="eastAsia" w:ascii="仿宋" w:hAnsi="仿宋" w:eastAsia="仿宋_GB2312" w:cs="仿宋_GB2312"/>
          <w:sz w:val="32"/>
          <w:szCs w:val="32"/>
          <w:lang w:eastAsia="zh-CN"/>
        </w:rPr>
      </w:pPr>
      <w:r>
        <w:rPr>
          <w:rFonts w:hint="eastAsia" w:ascii="仿宋_GB2312" w:hAnsi="宋体" w:eastAsia="仿宋_GB2312"/>
          <w:sz w:val="32"/>
          <w:szCs w:val="32"/>
          <w:lang w:eastAsia="zh-CN"/>
        </w:rPr>
        <w:t>我单位</w:t>
      </w:r>
      <w:r>
        <w:rPr>
          <w:rFonts w:hint="eastAsia" w:ascii="仿宋_GB2312" w:hAnsi="宋体" w:eastAsia="仿宋_GB2312"/>
          <w:sz w:val="32"/>
          <w:szCs w:val="32"/>
        </w:rPr>
        <w:t>核定</w:t>
      </w:r>
      <w:r>
        <w:rPr>
          <w:rFonts w:hint="eastAsia" w:ascii="仿宋_GB2312" w:hAnsi="宋体" w:eastAsia="仿宋_GB2312"/>
          <w:sz w:val="32"/>
          <w:szCs w:val="32"/>
          <w:lang w:val="en-US" w:eastAsia="zh-CN"/>
        </w:rPr>
        <w:t>事业</w:t>
      </w:r>
      <w:r>
        <w:rPr>
          <w:rFonts w:hint="eastAsia" w:ascii="仿宋_GB2312" w:hAnsi="宋体" w:eastAsia="仿宋_GB2312"/>
          <w:sz w:val="32"/>
          <w:szCs w:val="32"/>
        </w:rPr>
        <w:t>编制</w:t>
      </w:r>
      <w:r>
        <w:rPr>
          <w:rFonts w:hint="eastAsia" w:ascii="仿宋_GB2312" w:hAnsi="宋体" w:eastAsia="仿宋_GB2312"/>
          <w:color w:val="000000" w:themeColor="text1"/>
          <w:sz w:val="32"/>
          <w:szCs w:val="32"/>
          <w:lang w:val="en-US" w:eastAsia="zh-CN"/>
          <w14:textFill>
            <w14:solidFill>
              <w14:schemeClr w14:val="tx1"/>
            </w14:solidFill>
          </w14:textFill>
        </w:rPr>
        <w:t>79</w:t>
      </w:r>
      <w:r>
        <w:rPr>
          <w:rFonts w:hint="eastAsia" w:ascii="仿宋_GB2312" w:hAnsi="宋体" w:eastAsia="仿宋_GB2312"/>
          <w:sz w:val="32"/>
          <w:szCs w:val="32"/>
        </w:rPr>
        <w:t>名</w:t>
      </w:r>
      <w:r>
        <w:rPr>
          <w:rFonts w:hint="eastAsia" w:ascii="仿宋_GB2312" w:hAnsi="宋体" w:eastAsia="仿宋_GB2312"/>
          <w:sz w:val="32"/>
          <w:szCs w:val="32"/>
          <w:lang w:eastAsia="zh-CN"/>
        </w:rPr>
        <w:t>。</w:t>
      </w:r>
      <w:r>
        <w:rPr>
          <w:rFonts w:hint="eastAsia" w:ascii="仿宋_GB2312" w:hAnsi="宋体" w:eastAsia="仿宋_GB2312"/>
          <w:sz w:val="32"/>
          <w:szCs w:val="32"/>
        </w:rPr>
        <w:t>实有人数，事业人员</w:t>
      </w:r>
      <w:r>
        <w:rPr>
          <w:rFonts w:hint="eastAsia" w:ascii="仿宋_GB2312" w:hAnsi="宋体" w:eastAsia="仿宋_GB2312"/>
          <w:color w:val="000000" w:themeColor="text1"/>
          <w:sz w:val="32"/>
          <w:szCs w:val="32"/>
          <w:lang w:val="en-US" w:eastAsia="zh-CN"/>
          <w14:textFill>
            <w14:solidFill>
              <w14:schemeClr w14:val="tx1"/>
            </w14:solidFill>
          </w14:textFill>
        </w:rPr>
        <w:t>79</w:t>
      </w:r>
      <w:r>
        <w:rPr>
          <w:rFonts w:hint="eastAsia" w:ascii="仿宋_GB2312" w:hAnsi="宋体" w:eastAsia="仿宋_GB2312"/>
          <w:sz w:val="32"/>
          <w:szCs w:val="32"/>
        </w:rPr>
        <w:t>名</w:t>
      </w:r>
      <w:r>
        <w:rPr>
          <w:rFonts w:hint="eastAsia" w:ascii="仿宋_GB2312" w:hAnsi="宋体" w:eastAsia="仿宋_GB2312"/>
          <w:sz w:val="32"/>
          <w:szCs w:val="32"/>
          <w:lang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我单位</w:t>
      </w:r>
      <w:r>
        <w:rPr>
          <w:rFonts w:hint="eastAsia" w:ascii="仿宋" w:hAnsi="仿宋" w:eastAsia="仿宋" w:cs="仿宋_GB2312"/>
          <w:sz w:val="32"/>
          <w:szCs w:val="32"/>
          <w:lang w:val="en-US" w:eastAsia="zh-CN"/>
        </w:rPr>
        <w:t>2022年</w:t>
      </w:r>
      <w:r>
        <w:rPr>
          <w:rFonts w:hint="eastAsia" w:ascii="仿宋" w:hAnsi="仿宋" w:eastAsia="仿宋" w:cs="仿宋_GB2312"/>
          <w:sz w:val="32"/>
          <w:szCs w:val="32"/>
          <w:lang w:eastAsia="zh-CN"/>
        </w:rPr>
        <w:t>财政资金收入</w:t>
      </w:r>
      <w:r>
        <w:rPr>
          <w:rFonts w:hint="eastAsia" w:ascii="仿宋" w:hAnsi="仿宋" w:eastAsia="仿宋" w:cs="仿宋_GB2312"/>
          <w:sz w:val="32"/>
          <w:szCs w:val="32"/>
          <w:lang w:val="en-US" w:eastAsia="zh-CN"/>
        </w:rPr>
        <w:t>1612.09万元。</w:t>
      </w:r>
    </w:p>
    <w:p>
      <w:pPr>
        <w:numPr>
          <w:ilvl w:val="0"/>
          <w:numId w:val="10"/>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numPr>
          <w:ilvl w:val="0"/>
          <w:numId w:val="0"/>
        </w:numPr>
        <w:spacing w:line="580" w:lineRule="exact"/>
        <w:ind w:firstLine="640" w:firstLineChars="200"/>
        <w:rPr>
          <w:rFonts w:ascii="仿宋" w:hAnsi="仿宋" w:eastAsia="仿宋" w:cs="仿宋_GB2312"/>
          <w:sz w:val="32"/>
          <w:szCs w:val="32"/>
          <w:lang w:val="en-US"/>
        </w:rPr>
      </w:pPr>
      <w:r>
        <w:rPr>
          <w:rFonts w:hint="eastAsia" w:ascii="仿宋" w:hAnsi="仿宋" w:eastAsia="仿宋" w:cs="仿宋_GB2312"/>
          <w:sz w:val="32"/>
          <w:szCs w:val="32"/>
          <w:lang w:eastAsia="zh-CN"/>
        </w:rPr>
        <w:t>我单位本年财政资金支出</w:t>
      </w:r>
      <w:r>
        <w:rPr>
          <w:rFonts w:hint="eastAsia" w:ascii="仿宋" w:hAnsi="仿宋" w:eastAsia="仿宋" w:cs="仿宋_GB2312"/>
          <w:sz w:val="32"/>
          <w:szCs w:val="32"/>
          <w:lang w:val="en-US" w:eastAsia="zh-CN"/>
        </w:rPr>
        <w:t>1612.09万元。主要用于社会保障和就业支出232.25万元，卫生健康支出1312.119万元，住房保障支出67.73万元。</w:t>
      </w:r>
    </w:p>
    <w:p>
      <w:pPr>
        <w:numPr>
          <w:ilvl w:val="0"/>
          <w:numId w:val="11"/>
        </w:numPr>
        <w:spacing w:line="580" w:lineRule="exact"/>
        <w:ind w:firstLine="640" w:firstLineChars="200"/>
        <w:rPr>
          <w:rFonts w:ascii="黑体" w:hAnsi="黑体" w:eastAsia="黑体" w:cs="黑体"/>
          <w:sz w:val="32"/>
          <w:szCs w:val="32"/>
        </w:rPr>
      </w:pPr>
      <w:r>
        <w:rPr>
          <w:rFonts w:ascii="黑体" w:hAnsi="黑体" w:eastAsia="黑体" w:cs="黑体"/>
          <w:sz w:val="32"/>
          <w:szCs w:val="32"/>
        </w:rPr>
        <w:t>部门整体预算绩效管理情况</w:t>
      </w:r>
    </w:p>
    <w:p>
      <w:pPr>
        <w:pStyle w:val="12"/>
        <w:keepNext w:val="0"/>
        <w:keepLines w:val="0"/>
        <w:widowControl/>
        <w:suppressLineNumbers w:val="0"/>
        <w:spacing w:before="300" w:beforeAutospacing="0" w:after="0" w:afterAutospacing="0" w:line="22" w:lineRule="atLeast"/>
        <w:ind w:right="0"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我院认真贯彻落实《党政机关厉行节约反对浪费条例》中关于从严从紧控制公务开支要求，从严控经费开支，三公经费等大幅下降。在资金使用上一直按照国家财经法规和本单位财务管理制度规定以及有关专项资金管理办法的规定收支，资金拨付有完整的审批程序和手续，按照财经制度的有关要求，有计划地安排、使用资金，严格财务审批制度。重大开支党组会集体研究，保证资金使用合法合规，同时资金使用无截留、挤占、挪用、虚列支出等情况。</w:t>
      </w:r>
    </w:p>
    <w:p>
      <w:pPr>
        <w:pStyle w:val="12"/>
        <w:keepNext w:val="0"/>
        <w:keepLines w:val="0"/>
        <w:widowControl/>
        <w:suppressLineNumbers w:val="0"/>
        <w:spacing w:before="300" w:beforeAutospacing="0" w:after="0" w:afterAutospacing="0" w:line="22" w:lineRule="atLeast"/>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（一）绩效评价目的</w:t>
      </w:r>
    </w:p>
    <w:p>
      <w:pPr>
        <w:pStyle w:val="12"/>
        <w:keepNext w:val="0"/>
        <w:keepLines w:val="0"/>
        <w:widowControl/>
        <w:suppressLineNumbers w:val="0"/>
        <w:spacing w:before="300" w:beforeAutospacing="0" w:after="0" w:afterAutospacing="0" w:line="22" w:lineRule="atLeast"/>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本次绩效评价的目的是为了全面分析和综合评价我所预算资金的使用管理情况，为切实提高资金使用效益，强化预算支出的责任和效率提供参考依据。</w:t>
      </w:r>
    </w:p>
    <w:p>
      <w:pPr>
        <w:pStyle w:val="12"/>
        <w:keepNext w:val="0"/>
        <w:keepLines w:val="0"/>
        <w:widowControl/>
        <w:suppressLineNumbers w:val="0"/>
        <w:spacing w:before="300" w:beforeAutospacing="0" w:after="0" w:afterAutospacing="0" w:line="22" w:lineRule="atLeast"/>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（二）绩效评价工作过程</w:t>
      </w:r>
    </w:p>
    <w:p>
      <w:pPr>
        <w:pStyle w:val="12"/>
        <w:keepNext w:val="0"/>
        <w:keepLines w:val="0"/>
        <w:widowControl/>
        <w:suppressLineNumbers w:val="0"/>
        <w:spacing w:before="300" w:beforeAutospacing="0" w:after="0" w:afterAutospacing="0" w:line="22" w:lineRule="atLeast"/>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我们按照绩效评价规定要求成立评价小组，组织实施和分析评价，采取座谈等方式听取情况，检查基本支出、项目支出有关账目，收集整理支出相关资料，并根据各部门报送的绩效自评材料进行分析，形成评价结论。</w:t>
      </w:r>
    </w:p>
    <w:p>
      <w:pPr>
        <w:numPr>
          <w:ilvl w:val="0"/>
          <w:numId w:val="11"/>
        </w:num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部门整体支出绩效评价</w:t>
      </w:r>
    </w:p>
    <w:p>
      <w:pPr>
        <w:pStyle w:val="12"/>
        <w:keepNext w:val="0"/>
        <w:keepLines w:val="0"/>
        <w:widowControl/>
        <w:suppressLineNumbers w:val="0"/>
        <w:spacing w:before="300" w:beforeAutospacing="0" w:after="0" w:afterAutospacing="0" w:line="22" w:lineRule="atLeast"/>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2022年，根据年初工作规划和重点性工作，全院上下团结一心，迎难而上，加压奋进，锐意进取，各项工作取得了较大成绩，较好的完成了年度工作目标。通过加强预算收支管理，不断建立健全内部管理制度，梳理内部管理流程，部门整体支出管理情况得到提升。部门整体支出绩效情况如下：</w:t>
      </w:r>
    </w:p>
    <w:p>
      <w:pPr>
        <w:pStyle w:val="12"/>
        <w:keepNext w:val="0"/>
        <w:keepLines w:val="0"/>
        <w:widowControl/>
        <w:suppressLineNumbers w:val="0"/>
        <w:spacing w:before="300" w:beforeAutospacing="0" w:after="0" w:afterAutospacing="0" w:line="22" w:lineRule="atLeast"/>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（一）经济效益评价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1. 预算执行方面，支出总额控制在预算总额以内；2022 年度</w:t>
      </w:r>
      <w:r>
        <w:rPr>
          <w:rFonts w:hint="eastAsia" w:ascii="仿宋" w:hAnsi="仿宋" w:eastAsia="仿宋" w:cs="仿宋_GB2312"/>
          <w:sz w:val="32"/>
          <w:szCs w:val="32"/>
          <w:lang w:val="en-US" w:eastAsia="zh-CN"/>
        </w:rPr>
        <w:t>社会保障和就业支出232.25万元，卫生健康支出1312.119万元，住房保障支出67.73万元</w:t>
      </w:r>
      <w:r>
        <w:rPr>
          <w:rFonts w:hint="eastAsia" w:ascii="仿宋" w:hAnsi="仿宋" w:eastAsia="仿宋" w:cs="仿宋_GB2312"/>
          <w:kern w:val="2"/>
          <w:sz w:val="32"/>
          <w:szCs w:val="32"/>
          <w:lang w:val="en-US" w:eastAsia="zh-CN" w:bidi="ar-SA"/>
        </w:rPr>
        <w:t>，完成预算的100%。</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2、预算管理方面，制度执行总体较为有效。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3、资产管理方面，建立了资产管理制度，进行了盘点和资产清理，总体执行较好。</w:t>
      </w:r>
    </w:p>
    <w:p>
      <w:pPr>
        <w:pStyle w:val="12"/>
        <w:keepNext w:val="0"/>
        <w:keepLines w:val="0"/>
        <w:widowControl/>
        <w:suppressLineNumbers w:val="0"/>
        <w:spacing w:before="300" w:beforeAutospacing="0" w:after="0" w:afterAutospacing="0" w:line="22" w:lineRule="atLeast"/>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（二）效率性评价和有效性评价</w:t>
      </w:r>
    </w:p>
    <w:p>
      <w:pPr>
        <w:pStyle w:val="12"/>
        <w:keepNext w:val="0"/>
        <w:keepLines w:val="0"/>
        <w:widowControl/>
        <w:suppressLineNumbers w:val="0"/>
        <w:spacing w:before="300" w:beforeAutospacing="0" w:after="0" w:afterAutospacing="0" w:line="22" w:lineRule="atLeast"/>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预算安排的基本支出保障了正常的工作运转，预算安排的项目支出是非常必要的，在执行上是严格遵守各项财经纪律的，在项目资金的使用上也是放的心的，严守法律底线、纪律底线、道德底线。</w:t>
      </w:r>
    </w:p>
    <w:p>
      <w:pPr>
        <w:pStyle w:val="12"/>
        <w:keepNext w:val="0"/>
        <w:keepLines w:val="0"/>
        <w:widowControl/>
        <w:suppressLineNumbers w:val="0"/>
        <w:spacing w:before="300" w:beforeAutospacing="0" w:after="0" w:afterAutospacing="0" w:line="22" w:lineRule="atLeast"/>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（三）社会公众满意度评价</w:t>
      </w:r>
    </w:p>
    <w:p>
      <w:pPr>
        <w:pStyle w:val="12"/>
        <w:keepNext w:val="0"/>
        <w:keepLines w:val="0"/>
        <w:widowControl/>
        <w:suppressLineNumbers w:val="0"/>
        <w:spacing w:before="300" w:beforeAutospacing="0" w:after="0" w:afterAutospacing="0" w:line="22" w:lineRule="atLeast"/>
        <w:ind w:right="0"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2022年我院认真贯彻落实党的十九届三中全会精神勤奋工作，创先争优，通过全年高质量业务发展，</w:t>
      </w:r>
      <w:r>
        <w:rPr>
          <w:rFonts w:hint="eastAsia" w:ascii="仿宋_GB2312" w:hAnsi="宋体" w:eastAsia="仿宋_GB2312"/>
          <w:sz w:val="32"/>
          <w:szCs w:val="32"/>
        </w:rPr>
        <w:t>保障</w:t>
      </w:r>
      <w:r>
        <w:rPr>
          <w:rFonts w:hint="eastAsia" w:ascii="仿宋_GB2312" w:hAnsi="宋体" w:eastAsia="仿宋_GB2312"/>
          <w:sz w:val="32"/>
          <w:szCs w:val="32"/>
          <w:lang w:val="en-US" w:eastAsia="zh-CN"/>
        </w:rPr>
        <w:t>妇女儿童</w:t>
      </w:r>
      <w:r>
        <w:rPr>
          <w:rFonts w:hint="eastAsia" w:ascii="仿宋_GB2312" w:hAnsi="宋体" w:eastAsia="仿宋_GB2312"/>
          <w:sz w:val="32"/>
          <w:szCs w:val="32"/>
        </w:rPr>
        <w:t>身体健康</w:t>
      </w:r>
      <w:r>
        <w:rPr>
          <w:rFonts w:hint="eastAsia" w:ascii="仿宋" w:hAnsi="仿宋" w:eastAsia="仿宋" w:cs="仿宋_GB2312"/>
          <w:kern w:val="2"/>
          <w:sz w:val="32"/>
          <w:szCs w:val="32"/>
          <w:lang w:val="en-US" w:eastAsia="zh-CN" w:bidi="ar-SA"/>
        </w:rPr>
        <w:t>。</w:t>
      </w:r>
    </w:p>
    <w:p>
      <w:pPr>
        <w:pStyle w:val="12"/>
        <w:keepNext w:val="0"/>
        <w:keepLines w:val="0"/>
        <w:widowControl/>
        <w:suppressLineNumbers w:val="0"/>
        <w:spacing w:before="300" w:beforeAutospacing="0" w:after="0" w:afterAutospacing="0" w:line="22" w:lineRule="atLeast"/>
        <w:ind w:left="0" w:right="0"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五、存在的主要问题。</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1、单位管理还比较粗放。</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2、财务制度执行力有待加强，资金使用计划有待细化。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3、财政预算资金到位比较迟缓，各项目经费支付不能及时到位。</w:t>
      </w:r>
    </w:p>
    <w:p>
      <w:pPr>
        <w:pStyle w:val="12"/>
        <w:keepNext w:val="0"/>
        <w:keepLines w:val="0"/>
        <w:widowControl/>
        <w:suppressLineNumbers w:val="0"/>
        <w:spacing w:before="300" w:beforeAutospacing="0" w:after="0" w:afterAutospacing="0" w:line="22" w:lineRule="atLeast"/>
        <w:ind w:left="0" w:right="0"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六、改进措施和有关建议</w:t>
      </w:r>
    </w:p>
    <w:p>
      <w:pPr>
        <w:pStyle w:val="12"/>
        <w:keepNext w:val="0"/>
        <w:keepLines w:val="0"/>
        <w:widowControl/>
        <w:suppressLineNumbers w:val="0"/>
        <w:spacing w:before="300" w:beforeAutospacing="0" w:after="0" w:afterAutospacing="0" w:line="22" w:lineRule="atLeast"/>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针对上述存在的问题及整体支出管理工作的需要，拟实施的改进措施如下：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1、加强财务管理，严格财务审核。在费用报账支付时，按照预算规定的费用项目和用途进行资金使用审核、列报支付、财务核算，杜绝超支现象的发生。</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2、加强项目开展进度的跟踪，开展项目绩效评价，确保项目绩效目标的完成。</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lang w:eastAsia="zh-CN"/>
        </w:rPr>
        <w:t>2022</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pStyle w:val="2"/>
        <w:ind w:firstLine="1280" w:firstLineChars="400"/>
        <w:rPr>
          <w:rFonts w:ascii="宋体" w:hAnsi="宋体"/>
          <w:sz w:val="32"/>
          <w:szCs w:val="32"/>
          <w:lang w:val="zh-CN"/>
        </w:rPr>
      </w:pPr>
    </w:p>
    <w:p>
      <w:pPr>
        <w:adjustRightInd w:val="0"/>
        <w:snapToGrid w:val="0"/>
        <w:spacing w:line="520" w:lineRule="exact"/>
        <w:ind w:firstLine="643" w:firstLineChars="200"/>
        <w:rPr>
          <w:rFonts w:hint="eastAsia" w:ascii="方正黑体_GBK" w:hAnsi="方正黑体_GBK" w:eastAsia="方正黑体_GBK" w:cs="方正黑体_GBK"/>
          <w:b/>
          <w:bCs/>
          <w:sz w:val="32"/>
          <w:szCs w:val="32"/>
          <w:lang w:val="zh-CN"/>
        </w:rPr>
      </w:pPr>
      <w:r>
        <w:rPr>
          <w:rFonts w:hint="eastAsia" w:ascii="方正黑体_GBK" w:hAnsi="方正黑体_GBK" w:eastAsia="方正黑体_GBK" w:cs="方正黑体_GBK"/>
          <w:b/>
          <w:bCs/>
          <w:sz w:val="32"/>
          <w:szCs w:val="32"/>
          <w:lang w:val="en-US" w:eastAsia="zh-CN"/>
        </w:rPr>
        <w:t>一、</w:t>
      </w:r>
      <w:r>
        <w:rPr>
          <w:rFonts w:hint="eastAsia" w:ascii="方正黑体_GBK" w:hAnsi="方正黑体_GBK" w:eastAsia="方正黑体_GBK" w:cs="方正黑体_GBK"/>
          <w:b/>
          <w:bCs/>
          <w:sz w:val="32"/>
          <w:szCs w:val="32"/>
          <w:lang w:val="zh-CN"/>
        </w:rPr>
        <w:t>项目基本情况。</w:t>
      </w:r>
    </w:p>
    <w:p>
      <w:pPr>
        <w:numPr>
          <w:ilvl w:val="0"/>
          <w:numId w:val="0"/>
        </w:numPr>
        <w:adjustRightInd w:val="0"/>
        <w:snapToGrid w:val="0"/>
        <w:spacing w:line="600" w:lineRule="exact"/>
        <w:ind w:firstLine="960" w:firstLineChars="300"/>
        <w:rPr>
          <w:rFonts w:hint="eastAsia" w:ascii="仿宋_GB2312" w:hAnsi="宋体" w:eastAsia="仿宋_GB2312"/>
          <w:sz w:val="32"/>
          <w:szCs w:val="32"/>
        </w:rPr>
      </w:pPr>
      <w:r>
        <w:rPr>
          <w:rFonts w:hint="eastAsia" w:eastAsia="仿宋_GB2312"/>
          <w:sz w:val="32"/>
          <w:szCs w:val="32"/>
          <w:lang w:val="en-US" w:eastAsia="zh-CN"/>
        </w:rPr>
        <w:t>2022年广安区妇幼保健计划生育服务中心无项目。</w:t>
      </w:r>
      <w:r>
        <w:rPr>
          <w:rFonts w:hint="eastAsia" w:ascii="仿宋_GB2312" w:hAnsi="宋体" w:eastAsia="仿宋_GB2312"/>
          <w:sz w:val="32"/>
          <w:szCs w:val="32"/>
        </w:rPr>
        <w:t xml:space="preserve">    </w:t>
      </w:r>
    </w:p>
    <w:p>
      <w:pPr>
        <w:adjustRightInd w:val="0"/>
        <w:snapToGrid w:val="0"/>
        <w:spacing w:line="520" w:lineRule="exact"/>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 xml:space="preserve">    二、项目实施及管理情况</w:t>
      </w:r>
    </w:p>
    <w:p>
      <w:pPr>
        <w:adjustRightInd w:val="0"/>
        <w:snapToGrid w:val="0"/>
        <w:spacing w:line="520" w:lineRule="exact"/>
        <w:ind w:left="638" w:leftChars="304" w:firstLine="320" w:firstLineChars="100"/>
        <w:rPr>
          <w:rFonts w:hint="eastAsia" w:ascii="仿宋_GB2312" w:hAnsi="宋体" w:eastAsia="仿宋_GB2312"/>
          <w:sz w:val="32"/>
          <w:szCs w:val="32"/>
          <w:lang w:val="en-US" w:eastAsia="zh-CN"/>
        </w:rPr>
      </w:pPr>
      <w:r>
        <w:rPr>
          <w:rFonts w:hint="eastAsia" w:eastAsia="仿宋_GB2312"/>
          <w:sz w:val="32"/>
          <w:szCs w:val="32"/>
          <w:lang w:eastAsia="zh-CN"/>
        </w:rPr>
        <w:t>2022</w:t>
      </w:r>
      <w:r>
        <w:rPr>
          <w:rFonts w:hint="eastAsia" w:eastAsia="仿宋_GB2312"/>
          <w:sz w:val="32"/>
          <w:szCs w:val="32"/>
        </w:rPr>
        <w:t>年</w:t>
      </w:r>
      <w:r>
        <w:rPr>
          <w:rFonts w:hint="eastAsia" w:eastAsia="仿宋_GB2312"/>
          <w:sz w:val="32"/>
          <w:szCs w:val="32"/>
          <w:lang w:val="en-US" w:eastAsia="zh-CN"/>
        </w:rPr>
        <w:t>广安区妇幼保健计划生育服务中心无项目</w:t>
      </w:r>
      <w:r>
        <w:rPr>
          <w:rFonts w:hint="eastAsia" w:ascii="仿宋_GB2312" w:hAnsi="宋体" w:eastAsia="仿宋_GB2312"/>
          <w:sz w:val="32"/>
          <w:szCs w:val="32"/>
        </w:rPr>
        <w:t>。</w:t>
      </w:r>
    </w:p>
    <w:p>
      <w:pPr>
        <w:adjustRightInd w:val="0"/>
        <w:snapToGrid w:val="0"/>
        <w:spacing w:line="520" w:lineRule="exact"/>
        <w:rPr>
          <w:rFonts w:hint="eastAsia" w:ascii="仿宋_GB2312" w:hAnsi="宋体" w:eastAsia="仿宋_GB2312"/>
          <w:b/>
          <w:bCs/>
          <w:sz w:val="32"/>
          <w:szCs w:val="32"/>
        </w:rPr>
      </w:pPr>
      <w:r>
        <w:rPr>
          <w:rFonts w:hint="eastAsia" w:ascii="方正黑体_GBK" w:hAnsi="方正黑体_GBK" w:eastAsia="方正黑体_GBK" w:cs="方正黑体_GBK"/>
          <w:b/>
          <w:bCs/>
          <w:sz w:val="32"/>
          <w:szCs w:val="32"/>
        </w:rPr>
        <w:t xml:space="preserve"> </w:t>
      </w:r>
      <w:r>
        <w:rPr>
          <w:rFonts w:hint="eastAsia" w:ascii="方正黑体_GBK" w:hAnsi="方正黑体_GBK" w:eastAsia="方正黑体_GBK" w:cs="方正黑体_GBK"/>
          <w:b/>
          <w:bCs/>
          <w:sz w:val="32"/>
          <w:szCs w:val="32"/>
          <w:lang w:val="en-US" w:eastAsia="zh-CN"/>
        </w:rPr>
        <w:t xml:space="preserve">   </w:t>
      </w:r>
      <w:r>
        <w:rPr>
          <w:rFonts w:hint="eastAsia" w:ascii="方正黑体_GBK" w:hAnsi="方正黑体_GBK" w:eastAsia="方正黑体_GBK" w:cs="方正黑体_GBK"/>
          <w:b/>
          <w:bCs/>
          <w:sz w:val="32"/>
          <w:szCs w:val="32"/>
        </w:rPr>
        <w:t>三、项目绩效情况</w:t>
      </w:r>
    </w:p>
    <w:p>
      <w:pPr>
        <w:adjustRightInd w:val="0"/>
        <w:snapToGrid w:val="0"/>
        <w:spacing w:line="520" w:lineRule="exact"/>
        <w:ind w:left="638" w:leftChars="304" w:firstLine="320" w:firstLineChars="100"/>
        <w:rPr>
          <w:rFonts w:hint="default" w:eastAsia="仿宋_GB2312"/>
          <w:sz w:val="32"/>
          <w:szCs w:val="32"/>
          <w:lang w:val="en-US" w:eastAsia="zh-CN"/>
        </w:rPr>
      </w:pPr>
      <w:r>
        <w:rPr>
          <w:rFonts w:hint="eastAsia" w:eastAsia="仿宋_GB2312"/>
          <w:sz w:val="32"/>
          <w:szCs w:val="32"/>
          <w:lang w:eastAsia="zh-CN"/>
        </w:rPr>
        <w:t>2022</w:t>
      </w:r>
      <w:r>
        <w:rPr>
          <w:rFonts w:hint="eastAsia" w:eastAsia="仿宋_GB2312"/>
          <w:sz w:val="32"/>
          <w:szCs w:val="32"/>
        </w:rPr>
        <w:t>年</w:t>
      </w:r>
      <w:r>
        <w:rPr>
          <w:rFonts w:hint="eastAsia" w:eastAsia="仿宋_GB2312"/>
          <w:sz w:val="32"/>
          <w:szCs w:val="32"/>
          <w:lang w:val="en-US" w:eastAsia="zh-CN"/>
        </w:rPr>
        <w:t>广安区妇幼保健计划生育服务中心无项目</w:t>
      </w:r>
      <w:r>
        <w:rPr>
          <w:rFonts w:hint="eastAsia" w:ascii="仿宋_GB2312" w:hAnsi="宋体" w:eastAsia="仿宋_GB2312"/>
          <w:sz w:val="32"/>
          <w:szCs w:val="32"/>
        </w:rPr>
        <w:t>。</w:t>
      </w:r>
    </w:p>
    <w:p>
      <w:pPr>
        <w:adjustRightInd w:val="0"/>
        <w:snapToGrid w:val="0"/>
        <w:spacing w:line="520" w:lineRule="exact"/>
        <w:ind w:firstLine="642"/>
        <w:rPr>
          <w:rFonts w:hint="eastAsia" w:ascii="仿宋_GB2312" w:hAnsi="宋体" w:eastAsia="仿宋_GB2312"/>
          <w:sz w:val="32"/>
          <w:szCs w:val="32"/>
        </w:rPr>
      </w:pPr>
      <w:r>
        <w:rPr>
          <w:rFonts w:hint="eastAsia" w:ascii="方正黑体_GBK" w:hAnsi="方正黑体_GBK" w:eastAsia="方正黑体_GBK" w:cs="方正黑体_GBK"/>
          <w:b/>
          <w:bCs/>
          <w:sz w:val="32"/>
          <w:szCs w:val="32"/>
        </w:rPr>
        <w:t>四、问题及建议</w:t>
      </w:r>
      <w:r>
        <w:rPr>
          <w:rFonts w:hint="eastAsia" w:ascii="仿宋_GB2312" w:hAnsi="宋体" w:eastAsia="仿宋_GB2312"/>
          <w:sz w:val="32"/>
          <w:szCs w:val="32"/>
        </w:rPr>
        <w:t xml:space="preserve">    </w:t>
      </w:r>
    </w:p>
    <w:p>
      <w:pPr>
        <w:adjustRightInd w:val="0"/>
        <w:snapToGrid w:val="0"/>
        <w:spacing w:line="52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（一）问题</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lang w:val="en-US" w:eastAsia="zh-CN"/>
        </w:rPr>
        <w:t>健康保障</w:t>
      </w:r>
      <w:r>
        <w:rPr>
          <w:rFonts w:hint="eastAsia" w:ascii="仿宋_GB2312" w:hAnsi="仿宋_GB2312" w:eastAsia="仿宋_GB2312" w:cs="仿宋_GB2312"/>
          <w:sz w:val="32"/>
          <w:szCs w:val="32"/>
          <w:lang w:eastAsia="zh-CN"/>
        </w:rPr>
        <w:t>基层力量不足，知识储备能力不够资金投入方面还不够。</w:t>
      </w:r>
    </w:p>
    <w:p>
      <w:pPr>
        <w:adjustRightInd w:val="0"/>
        <w:snapToGrid w:val="0"/>
        <w:spacing w:line="52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（二）建议</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为了保障全区</w:t>
      </w:r>
      <w:r>
        <w:rPr>
          <w:rFonts w:hint="eastAsia" w:ascii="仿宋_GB2312" w:hAnsi="宋体" w:eastAsia="仿宋_GB2312"/>
          <w:sz w:val="32"/>
          <w:szCs w:val="32"/>
          <w:lang w:val="en-US" w:eastAsia="zh-CN"/>
        </w:rPr>
        <w:t>妇女儿童</w:t>
      </w:r>
      <w:r>
        <w:rPr>
          <w:rFonts w:hint="eastAsia" w:ascii="仿宋_GB2312" w:hAnsi="宋体" w:eastAsia="仿宋_GB2312"/>
          <w:sz w:val="32"/>
          <w:szCs w:val="32"/>
          <w:lang w:eastAsia="zh-CN"/>
        </w:rPr>
        <w:t>民的健康，</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lang w:val="en-US" w:eastAsia="zh-CN"/>
        </w:rPr>
        <w:t>公卫服务</w:t>
      </w:r>
      <w:r>
        <w:rPr>
          <w:rFonts w:hint="eastAsia" w:ascii="仿宋_GB2312" w:hAnsi="仿宋_GB2312" w:eastAsia="仿宋_GB2312" w:cs="仿宋_GB2312"/>
          <w:sz w:val="32"/>
          <w:szCs w:val="32"/>
          <w:lang w:eastAsia="zh-CN"/>
        </w:rPr>
        <w:t>体系建设是非常有必要的，加强</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lang w:eastAsia="zh-CN"/>
        </w:rPr>
        <w:t>人员知识的培训，对提升</w:t>
      </w:r>
      <w:r>
        <w:rPr>
          <w:rFonts w:hint="eastAsia" w:ascii="仿宋_GB2312" w:hAnsi="仿宋_GB2312" w:eastAsia="仿宋_GB2312" w:cs="仿宋_GB2312"/>
          <w:sz w:val="32"/>
          <w:szCs w:val="32"/>
          <w:lang w:val="en-US" w:eastAsia="zh-CN"/>
        </w:rPr>
        <w:t>公卫服务</w:t>
      </w:r>
      <w:r>
        <w:rPr>
          <w:rFonts w:hint="eastAsia" w:ascii="仿宋_GB2312" w:hAnsi="仿宋_GB2312" w:eastAsia="仿宋_GB2312" w:cs="仿宋_GB2312"/>
          <w:sz w:val="32"/>
          <w:szCs w:val="32"/>
          <w:lang w:eastAsia="zh-CN"/>
        </w:rPr>
        <w:t>能力很有必要的，下一步希望财政部门能继续加大对</w:t>
      </w:r>
      <w:r>
        <w:rPr>
          <w:rFonts w:hint="eastAsia" w:ascii="仿宋_GB2312" w:hAnsi="仿宋_GB2312" w:eastAsia="仿宋_GB2312" w:cs="仿宋_GB2312"/>
          <w:sz w:val="32"/>
          <w:szCs w:val="32"/>
          <w:lang w:val="en-US" w:eastAsia="zh-CN"/>
        </w:rPr>
        <w:t>公卫服务</w:t>
      </w:r>
      <w:r>
        <w:rPr>
          <w:rFonts w:hint="eastAsia" w:ascii="仿宋_GB2312" w:hAnsi="仿宋_GB2312" w:eastAsia="仿宋_GB2312" w:cs="仿宋_GB2312"/>
          <w:sz w:val="32"/>
          <w:szCs w:val="32"/>
          <w:lang w:eastAsia="zh-CN"/>
        </w:rPr>
        <w:t>方面的投入。</w:t>
      </w:r>
    </w:p>
    <w:p>
      <w:pPr>
        <w:pStyle w:val="2"/>
        <w:rPr>
          <w:rFonts w:hint="default" w:eastAsia="仿宋_GB2312"/>
          <w:lang w:val="en-US" w:eastAsia="zh-CN"/>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adjustRightInd w:val="0"/>
        <w:snapToGrid w:val="0"/>
        <w:spacing w:line="600" w:lineRule="exact"/>
        <w:ind w:firstLine="803" w:firstLineChars="200"/>
        <w:rPr>
          <w:rFonts w:hint="eastAsia" w:ascii="仿宋_GB2312" w:hAnsi="宋体" w:eastAsia="仿宋_GB2312"/>
          <w:b/>
          <w:bCs/>
          <w:sz w:val="40"/>
          <w:szCs w:val="40"/>
          <w:lang w:val="zh-CN" w:eastAsia="zh-CN"/>
        </w:rPr>
      </w:pPr>
      <w:r>
        <w:rPr>
          <w:rFonts w:hint="eastAsia" w:ascii="仿宋_GB2312" w:hAnsi="宋体" w:eastAsia="仿宋_GB2312"/>
          <w:b/>
          <w:bCs/>
          <w:sz w:val="40"/>
          <w:szCs w:val="40"/>
          <w:lang w:val="zh-CN" w:eastAsia="zh-CN"/>
        </w:rPr>
        <w:t>附件</w:t>
      </w:r>
      <w:r>
        <w:rPr>
          <w:rFonts w:hint="eastAsia" w:ascii="仿宋_GB2312" w:hAnsi="宋体" w:eastAsia="仿宋_GB2312"/>
          <w:b/>
          <w:bCs/>
          <w:sz w:val="40"/>
          <w:szCs w:val="40"/>
          <w:lang w:val="en-US" w:eastAsia="zh-CN"/>
        </w:rPr>
        <w:t>3</w:t>
      </w:r>
      <w:r>
        <w:rPr>
          <w:rFonts w:hint="eastAsia" w:ascii="仿宋_GB2312" w:hAnsi="宋体" w:eastAsia="仿宋_GB2312"/>
          <w:b/>
          <w:bCs/>
          <w:sz w:val="40"/>
          <w:szCs w:val="40"/>
          <w:lang w:val="zh-CN" w:eastAsia="zh-CN"/>
        </w:rPr>
        <w:t>：</w:t>
      </w:r>
    </w:p>
    <w:p>
      <w:pPr>
        <w:adjustRightInd w:val="0"/>
        <w:snapToGrid w:val="0"/>
        <w:spacing w:line="600" w:lineRule="exact"/>
        <w:ind w:firstLine="803" w:firstLineChars="200"/>
        <w:jc w:val="center"/>
        <w:rPr>
          <w:rFonts w:hint="default" w:ascii="仿宋_GB2312" w:hAnsi="宋体" w:eastAsia="仿宋_GB2312"/>
          <w:b/>
          <w:bCs/>
          <w:sz w:val="40"/>
          <w:szCs w:val="40"/>
          <w:lang w:val="en-US" w:eastAsia="zh-CN"/>
        </w:rPr>
      </w:pPr>
      <w:r>
        <w:rPr>
          <w:rFonts w:hint="eastAsia" w:ascii="仿宋_GB2312" w:hAnsi="宋体" w:eastAsia="仿宋_GB2312"/>
          <w:b/>
          <w:bCs/>
          <w:sz w:val="40"/>
          <w:szCs w:val="40"/>
          <w:lang w:val="en-US" w:eastAsia="zh-CN"/>
        </w:rPr>
        <w:t>2022</w:t>
      </w:r>
      <w:r>
        <w:rPr>
          <w:rFonts w:hint="default" w:ascii="仿宋_GB2312" w:hAnsi="宋体" w:eastAsia="仿宋_GB2312"/>
          <w:b/>
          <w:bCs/>
          <w:sz w:val="40"/>
          <w:szCs w:val="40"/>
          <w:lang w:val="en-US" w:eastAsia="zh-CN"/>
        </w:rPr>
        <w:t>年100万元以上（含）特定目标类</w:t>
      </w:r>
    </w:p>
    <w:p>
      <w:pPr>
        <w:adjustRightInd w:val="0"/>
        <w:snapToGrid w:val="0"/>
        <w:spacing w:line="600" w:lineRule="exact"/>
        <w:ind w:firstLine="803" w:firstLineChars="200"/>
        <w:jc w:val="center"/>
        <w:outlineLvl w:val="0"/>
        <w:rPr>
          <w:rFonts w:hint="default" w:ascii="仿宋_GB2312" w:hAnsi="宋体" w:eastAsia="仿宋_GB2312"/>
          <w:b/>
          <w:bCs/>
          <w:sz w:val="40"/>
          <w:szCs w:val="40"/>
          <w:lang w:val="en-US" w:eastAsia="zh-CN"/>
        </w:rPr>
      </w:pPr>
      <w:bookmarkStart w:id="57" w:name="_Toc6771"/>
      <w:r>
        <w:rPr>
          <w:rFonts w:hint="default" w:ascii="仿宋_GB2312" w:hAnsi="宋体" w:eastAsia="仿宋_GB2312"/>
          <w:b/>
          <w:bCs/>
          <w:sz w:val="40"/>
          <w:szCs w:val="40"/>
          <w:lang w:val="en-US" w:eastAsia="zh-CN"/>
        </w:rPr>
        <w:t>部门预算项目绩效目标自评表</w:t>
      </w:r>
      <w:r>
        <w:rPr>
          <w:rFonts w:hint="eastAsia" w:ascii="仿宋_GB2312" w:hAnsi="宋体" w:eastAsia="仿宋_GB2312"/>
          <w:b/>
          <w:bCs/>
          <w:sz w:val="40"/>
          <w:szCs w:val="40"/>
          <w:lang w:val="en-US" w:eastAsia="zh-CN"/>
        </w:rPr>
        <w:t>（此表无数据）</w:t>
      </w:r>
      <w:bookmarkEnd w:id="57"/>
    </w:p>
    <w:p>
      <w:pPr>
        <w:pStyle w:val="2"/>
        <w:rPr>
          <w:rFonts w:hint="default"/>
          <w:lang w:val="en-US" w:eastAsia="zh-CN"/>
        </w:rPr>
      </w:pPr>
    </w:p>
    <w:tbl>
      <w:tblPr>
        <w:tblStyle w:val="13"/>
        <w:tblW w:w="8862" w:type="dxa"/>
        <w:tblInd w:w="0" w:type="dxa"/>
        <w:tblLayout w:type="fixed"/>
        <w:tblCellMar>
          <w:top w:w="0" w:type="dxa"/>
          <w:left w:w="0" w:type="dxa"/>
          <w:bottom w:w="0" w:type="dxa"/>
          <w:right w:w="0" w:type="dxa"/>
        </w:tblCellMar>
      </w:tblPr>
      <w:tblGrid>
        <w:gridCol w:w="722"/>
        <w:gridCol w:w="1193"/>
        <w:gridCol w:w="1290"/>
        <w:gridCol w:w="540"/>
        <w:gridCol w:w="1205"/>
        <w:gridCol w:w="1927"/>
        <w:gridCol w:w="1985"/>
      </w:tblGrid>
      <w:tr>
        <w:tblPrEx>
          <w:tblLayout w:type="fixed"/>
          <w:tblCellMar>
            <w:top w:w="0" w:type="dxa"/>
            <w:left w:w="0" w:type="dxa"/>
            <w:bottom w:w="0" w:type="dxa"/>
            <w:right w:w="0" w:type="dxa"/>
          </w:tblCellMar>
        </w:tblPrEx>
        <w:trPr>
          <w:trHeight w:val="396"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项目名称</w:t>
            </w:r>
          </w:p>
        </w:tc>
        <w:tc>
          <w:tcPr>
            <w:tcW w:w="69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无</w:t>
            </w:r>
          </w:p>
        </w:tc>
      </w:tr>
      <w:tr>
        <w:tblPrEx>
          <w:tblLayout w:type="fixed"/>
          <w:tblCellMar>
            <w:top w:w="0" w:type="dxa"/>
            <w:left w:w="0" w:type="dxa"/>
            <w:bottom w:w="0" w:type="dxa"/>
            <w:right w:w="0" w:type="dxa"/>
          </w:tblCellMar>
        </w:tblPrEx>
        <w:trPr>
          <w:trHeight w:val="762"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主管部门及代码</w:t>
            </w:r>
          </w:p>
        </w:tc>
        <w:tc>
          <w:tcPr>
            <w:tcW w:w="30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实施单位</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项目预算</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执行情况</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（万元）</w:t>
            </w: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预算数：</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执行数：</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其中：财政拨款</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其中：财政拨款</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其他资金</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其他资金</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0.0</w:t>
            </w:r>
          </w:p>
        </w:tc>
      </w:tr>
      <w:tr>
        <w:tblPrEx>
          <w:tblLayout w:type="fixed"/>
          <w:tblCellMar>
            <w:top w:w="0" w:type="dxa"/>
            <w:left w:w="0" w:type="dxa"/>
            <w:bottom w:w="0" w:type="dxa"/>
            <w:right w:w="0" w:type="dxa"/>
          </w:tblCellMar>
        </w:tblPrEx>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年度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总体</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目标</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完成</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情况</w:t>
            </w:r>
          </w:p>
        </w:tc>
        <w:tc>
          <w:tcPr>
            <w:tcW w:w="42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预期目标</w:t>
            </w:r>
          </w:p>
        </w:tc>
        <w:tc>
          <w:tcPr>
            <w:tcW w:w="3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目标实际完成情况</w:t>
            </w:r>
          </w:p>
        </w:tc>
      </w:tr>
      <w:tr>
        <w:tblPrEx>
          <w:tblLayout w:type="fixed"/>
          <w:tblCellMar>
            <w:top w:w="0" w:type="dxa"/>
            <w:left w:w="0" w:type="dxa"/>
            <w:bottom w:w="0" w:type="dxa"/>
            <w:right w:w="0" w:type="dxa"/>
          </w:tblCellMar>
        </w:tblPrEx>
        <w:trPr>
          <w:trHeight w:val="1684" w:hRule="atLeast"/>
        </w:trPr>
        <w:tc>
          <w:tcPr>
            <w:tcW w:w="7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p>
        </w:tc>
        <w:tc>
          <w:tcPr>
            <w:tcW w:w="42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3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629" w:hRule="atLeast"/>
        </w:trPr>
        <w:tc>
          <w:tcPr>
            <w:tcW w:w="722"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年度绩效指标完成情况</w:t>
            </w:r>
          </w:p>
        </w:tc>
        <w:tc>
          <w:tcPr>
            <w:tcW w:w="119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b/>
                <w:bCs/>
                <w:spacing w:val="6"/>
                <w:sz w:val="20"/>
                <w:szCs w:val="20"/>
                <w:lang w:val="en-US" w:eastAsia="zh-CN"/>
              </w:rPr>
              <w:t>一级指标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二级指标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三级指标</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预期指标值</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实际完成指标值</w:t>
            </w:r>
          </w:p>
        </w:tc>
      </w:tr>
      <w:tr>
        <w:tblPrEx>
          <w:tblLayout w:type="fixed"/>
          <w:tblCellMar>
            <w:top w:w="0" w:type="dxa"/>
            <w:left w:w="0" w:type="dxa"/>
            <w:bottom w:w="0" w:type="dxa"/>
            <w:right w:w="0" w:type="dxa"/>
          </w:tblCellMar>
        </w:tblPrEx>
        <w:trPr>
          <w:trHeight w:val="865"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完</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成</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指</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829"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效</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益</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指</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1925"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588"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550"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r>
        <w:tblPrEx>
          <w:tblLayout w:type="fixed"/>
          <w:tblCellMar>
            <w:top w:w="0" w:type="dxa"/>
            <w:left w:w="0" w:type="dxa"/>
            <w:bottom w:w="0" w:type="dxa"/>
            <w:right w:w="0" w:type="dxa"/>
          </w:tblCellMar>
        </w:tblPrEx>
        <w:trPr>
          <w:trHeight w:val="90"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满意</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度指</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p>
        </w:tc>
      </w:tr>
    </w:tbl>
    <w:p>
      <w:pPr>
        <w:spacing w:line="600" w:lineRule="exact"/>
        <w:jc w:val="center"/>
        <w:outlineLvl w:val="9"/>
        <w:rPr>
          <w:rStyle w:val="17"/>
          <w:rFonts w:ascii="黑体" w:hAnsi="黑体" w:eastAsia="黑体"/>
          <w:b w:val="0"/>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 w:lineRule="atLeast"/>
        <w:ind w:left="0" w:right="0" w:firstLine="420"/>
        <w:jc w:val="both"/>
        <w:textAlignment w:val="auto"/>
        <w:rPr>
          <w:rFonts w:hint="eastAsia" w:ascii="仿宋" w:hAnsi="仿宋" w:eastAsia="仿宋" w:cs="仿宋_GB2312"/>
          <w:kern w:val="2"/>
          <w:sz w:val="32"/>
          <w:szCs w:val="32"/>
          <w:lang w:val="en-US" w:eastAsia="zh-CN" w:bidi="ar-SA"/>
        </w:rPr>
      </w:pPr>
    </w:p>
    <w:p>
      <w:pPr>
        <w:pStyle w:val="12"/>
        <w:keepNext w:val="0"/>
        <w:keepLines w:val="0"/>
        <w:widowControl/>
        <w:suppressLineNumbers w:val="0"/>
        <w:spacing w:before="300" w:beforeAutospacing="0" w:after="0" w:afterAutospacing="0" w:line="22" w:lineRule="atLeast"/>
        <w:ind w:left="0" w:right="0" w:firstLine="420"/>
        <w:jc w:val="both"/>
        <w:rPr>
          <w:rFonts w:hint="eastAsia" w:ascii="仿宋" w:hAnsi="仿宋" w:eastAsia="仿宋" w:cs="仿宋_GB2312"/>
          <w:kern w:val="2"/>
          <w:sz w:val="32"/>
          <w:szCs w:val="32"/>
          <w:lang w:val="en-US" w:eastAsia="zh-CN" w:bidi="ar-SA"/>
        </w:rPr>
      </w:pPr>
    </w:p>
    <w:p>
      <w:pPr>
        <w:numPr>
          <w:ilvl w:val="0"/>
          <w:numId w:val="0"/>
        </w:numPr>
        <w:spacing w:line="580" w:lineRule="exact"/>
        <w:rPr>
          <w:rFonts w:ascii="黑体" w:hAnsi="黑体" w:eastAsia="黑体" w:cs="黑体"/>
          <w:sz w:val="32"/>
          <w:szCs w:val="32"/>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spacing w:line="580" w:lineRule="exact"/>
        <w:rPr>
          <w:rStyle w:val="17"/>
          <w:rFonts w:ascii="黑体" w:hAnsi="黑体" w:eastAsia="黑体"/>
          <w:b w:val="0"/>
          <w:color w:val="auto"/>
          <w:highlight w:val="none"/>
        </w:rPr>
      </w:pPr>
    </w:p>
    <w:p>
      <w:pPr>
        <w:spacing w:line="600" w:lineRule="exact"/>
        <w:jc w:val="center"/>
        <w:outlineLvl w:val="0"/>
        <w:rPr>
          <w:rFonts w:hint="eastAsia" w:ascii="仿宋" w:hAnsi="仿宋" w:eastAsia="仿宋"/>
          <w:b w:val="0"/>
          <w:color w:val="auto"/>
          <w:highlight w:val="none"/>
        </w:rPr>
      </w:pPr>
      <w:bookmarkStart w:id="58" w:name="_Toc30997"/>
      <w:bookmarkStart w:id="59" w:name="_Toc15396618"/>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五部分 附表</w:t>
      </w:r>
      <w:bookmarkEnd w:id="52"/>
      <w:bookmarkEnd w:id="58"/>
      <w:bookmarkEnd w:id="59"/>
      <w:bookmarkStart w:id="60" w:name="_Toc15396619"/>
    </w:p>
    <w:p>
      <w:pPr>
        <w:pStyle w:val="4"/>
        <w:rPr>
          <w:rFonts w:ascii="仿宋" w:hAnsi="仿宋" w:eastAsia="仿宋"/>
          <w:color w:val="auto"/>
          <w:highlight w:val="none"/>
        </w:rPr>
      </w:pPr>
      <w:bookmarkStart w:id="61" w:name="_Toc9326"/>
      <w:r>
        <w:rPr>
          <w:rFonts w:hint="eastAsia" w:ascii="仿宋" w:hAnsi="仿宋" w:eastAsia="仿宋"/>
          <w:b w:val="0"/>
          <w:color w:val="auto"/>
          <w:highlight w:val="none"/>
        </w:rPr>
        <w:t>一、收</w:t>
      </w:r>
      <w:r>
        <w:rPr>
          <w:rStyle w:val="16"/>
          <w:rFonts w:hint="eastAsia" w:ascii="仿宋" w:hAnsi="仿宋" w:eastAsia="仿宋"/>
          <w:b w:val="0"/>
          <w:bCs w:val="0"/>
          <w:color w:val="auto"/>
          <w:highlight w:val="none"/>
        </w:rPr>
        <w:t>入支出决算总表</w:t>
      </w:r>
      <w:bookmarkEnd w:id="60"/>
      <w:bookmarkEnd w:id="61"/>
    </w:p>
    <w:p>
      <w:pPr>
        <w:pStyle w:val="4"/>
        <w:rPr>
          <w:rFonts w:ascii="仿宋" w:hAnsi="仿宋" w:eastAsia="仿宋"/>
          <w:color w:val="auto"/>
          <w:highlight w:val="none"/>
        </w:rPr>
      </w:pPr>
      <w:bookmarkStart w:id="62" w:name="_Toc15396620"/>
      <w:bookmarkStart w:id="63" w:name="_Toc20249"/>
      <w:r>
        <w:rPr>
          <w:rFonts w:hint="eastAsia" w:ascii="仿宋" w:hAnsi="仿宋" w:eastAsia="仿宋"/>
          <w:b w:val="0"/>
          <w:color w:val="auto"/>
          <w:highlight w:val="none"/>
        </w:rPr>
        <w:t>二、收</w:t>
      </w:r>
      <w:r>
        <w:rPr>
          <w:rStyle w:val="16"/>
          <w:rFonts w:hint="eastAsia" w:ascii="仿宋" w:hAnsi="仿宋" w:eastAsia="仿宋"/>
          <w:b w:val="0"/>
          <w:bCs w:val="0"/>
          <w:color w:val="auto"/>
          <w:highlight w:val="none"/>
        </w:rPr>
        <w:t>入决算表</w:t>
      </w:r>
      <w:bookmarkEnd w:id="62"/>
      <w:bookmarkEnd w:id="63"/>
    </w:p>
    <w:p>
      <w:pPr>
        <w:pStyle w:val="4"/>
        <w:rPr>
          <w:rFonts w:ascii="仿宋" w:hAnsi="仿宋" w:eastAsia="仿宋"/>
          <w:color w:val="auto"/>
          <w:highlight w:val="none"/>
        </w:rPr>
      </w:pPr>
      <w:bookmarkStart w:id="64" w:name="_Toc420"/>
      <w:bookmarkStart w:id="65" w:name="_Toc15396621"/>
      <w:r>
        <w:rPr>
          <w:rStyle w:val="1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6"/>
          <w:rFonts w:hint="eastAsia" w:ascii="仿宋" w:hAnsi="仿宋" w:eastAsia="仿宋"/>
          <w:b w:val="0"/>
          <w:bCs w:val="0"/>
          <w:color w:val="auto"/>
          <w:highlight w:val="none"/>
        </w:rPr>
        <w:t>出决算表</w:t>
      </w:r>
      <w:bookmarkEnd w:id="64"/>
      <w:bookmarkEnd w:id="65"/>
    </w:p>
    <w:p>
      <w:pPr>
        <w:pStyle w:val="4"/>
        <w:rPr>
          <w:rFonts w:ascii="仿宋" w:hAnsi="仿宋" w:eastAsia="仿宋"/>
          <w:b w:val="0"/>
          <w:color w:val="auto"/>
          <w:highlight w:val="none"/>
        </w:rPr>
      </w:pPr>
      <w:bookmarkStart w:id="66" w:name="_Toc15396622"/>
      <w:bookmarkStart w:id="67" w:name="_Toc26702"/>
      <w:r>
        <w:rPr>
          <w:rStyle w:val="1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6"/>
          <w:rFonts w:hint="eastAsia" w:ascii="仿宋" w:hAnsi="仿宋" w:eastAsia="仿宋"/>
          <w:b w:val="0"/>
          <w:bCs w:val="0"/>
          <w:color w:val="auto"/>
          <w:highlight w:val="none"/>
        </w:rPr>
        <w:t>政拨款收入支出决算总表</w:t>
      </w:r>
      <w:bookmarkEnd w:id="66"/>
      <w:bookmarkEnd w:id="67"/>
    </w:p>
    <w:p>
      <w:pPr>
        <w:pStyle w:val="4"/>
        <w:rPr>
          <w:rStyle w:val="16"/>
          <w:rFonts w:ascii="仿宋" w:hAnsi="仿宋" w:eastAsia="仿宋"/>
          <w:b w:val="0"/>
          <w:bCs w:val="0"/>
          <w:color w:val="auto"/>
          <w:highlight w:val="none"/>
        </w:rPr>
      </w:pPr>
      <w:bookmarkStart w:id="68" w:name="_Toc14242"/>
      <w:bookmarkStart w:id="69" w:name="_Toc15396623"/>
      <w:r>
        <w:rPr>
          <w:rStyle w:val="1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6"/>
          <w:rFonts w:hint="eastAsia" w:ascii="仿宋" w:hAnsi="仿宋" w:eastAsia="仿宋"/>
          <w:b w:val="0"/>
          <w:bCs w:val="0"/>
          <w:color w:val="auto"/>
          <w:highlight w:val="none"/>
        </w:rPr>
        <w:t>政拨款支出决算明细表</w:t>
      </w:r>
      <w:bookmarkEnd w:id="68"/>
      <w:bookmarkEnd w:id="69"/>
      <w:bookmarkStart w:id="70" w:name="_Toc15396624"/>
    </w:p>
    <w:p>
      <w:pPr>
        <w:pStyle w:val="4"/>
        <w:rPr>
          <w:rFonts w:ascii="仿宋" w:hAnsi="仿宋" w:eastAsia="仿宋"/>
          <w:color w:val="auto"/>
          <w:highlight w:val="none"/>
        </w:rPr>
      </w:pPr>
      <w:bookmarkStart w:id="71" w:name="_Toc1309"/>
      <w:r>
        <w:rPr>
          <w:rStyle w:val="1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6"/>
          <w:rFonts w:hint="eastAsia" w:ascii="仿宋" w:hAnsi="仿宋" w:eastAsia="仿宋"/>
          <w:b w:val="0"/>
          <w:bCs w:val="0"/>
          <w:color w:val="auto"/>
          <w:highlight w:val="none"/>
        </w:rPr>
        <w:t>般公共预算财政拨款支出决算表</w:t>
      </w:r>
      <w:bookmarkEnd w:id="70"/>
      <w:bookmarkEnd w:id="71"/>
    </w:p>
    <w:p>
      <w:pPr>
        <w:pStyle w:val="4"/>
        <w:rPr>
          <w:rFonts w:ascii="仿宋" w:hAnsi="仿宋" w:eastAsia="仿宋"/>
          <w:color w:val="auto"/>
          <w:highlight w:val="none"/>
        </w:rPr>
      </w:pPr>
      <w:bookmarkStart w:id="72" w:name="_Toc23027"/>
      <w:bookmarkStart w:id="73" w:name="_Toc15396625"/>
      <w:r>
        <w:rPr>
          <w:rStyle w:val="1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6"/>
          <w:rFonts w:hint="eastAsia" w:ascii="仿宋" w:hAnsi="仿宋" w:eastAsia="仿宋"/>
          <w:b w:val="0"/>
          <w:bCs w:val="0"/>
          <w:color w:val="auto"/>
          <w:highlight w:val="none"/>
        </w:rPr>
        <w:t>般公共预算财政拨款支出决算明细表</w:t>
      </w:r>
      <w:bookmarkEnd w:id="72"/>
      <w:bookmarkEnd w:id="73"/>
    </w:p>
    <w:p>
      <w:pPr>
        <w:pStyle w:val="4"/>
        <w:rPr>
          <w:rFonts w:ascii="仿宋" w:hAnsi="仿宋" w:eastAsia="仿宋"/>
          <w:color w:val="auto"/>
          <w:highlight w:val="none"/>
        </w:rPr>
      </w:pPr>
      <w:bookmarkStart w:id="74" w:name="_Toc15396626"/>
      <w:bookmarkStart w:id="75" w:name="_Toc5260"/>
      <w:r>
        <w:rPr>
          <w:rStyle w:val="1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6"/>
          <w:rFonts w:hint="eastAsia" w:ascii="仿宋" w:hAnsi="仿宋" w:eastAsia="仿宋"/>
          <w:b w:val="0"/>
          <w:bCs w:val="0"/>
          <w:color w:val="auto"/>
          <w:highlight w:val="none"/>
        </w:rPr>
        <w:t>般公共预算财政拨款基本支出决算</w:t>
      </w:r>
      <w:r>
        <w:rPr>
          <w:rStyle w:val="16"/>
          <w:rFonts w:hint="eastAsia" w:ascii="仿宋" w:hAnsi="仿宋" w:eastAsia="仿宋"/>
          <w:b w:val="0"/>
          <w:bCs w:val="0"/>
          <w:color w:val="auto"/>
          <w:highlight w:val="none"/>
          <w:lang w:val="en-US" w:eastAsia="zh-CN"/>
        </w:rPr>
        <w:t>明细</w:t>
      </w:r>
      <w:r>
        <w:rPr>
          <w:rStyle w:val="16"/>
          <w:rFonts w:hint="eastAsia" w:ascii="仿宋" w:hAnsi="仿宋" w:eastAsia="仿宋"/>
          <w:b w:val="0"/>
          <w:bCs w:val="0"/>
          <w:color w:val="auto"/>
          <w:highlight w:val="none"/>
        </w:rPr>
        <w:t>表</w:t>
      </w:r>
      <w:bookmarkEnd w:id="74"/>
      <w:bookmarkEnd w:id="75"/>
    </w:p>
    <w:p>
      <w:pPr>
        <w:pStyle w:val="4"/>
        <w:rPr>
          <w:rFonts w:ascii="仿宋" w:hAnsi="仿宋" w:eastAsia="仿宋"/>
          <w:color w:val="auto"/>
          <w:highlight w:val="none"/>
        </w:rPr>
      </w:pPr>
      <w:bookmarkStart w:id="76" w:name="_Toc15396627"/>
      <w:bookmarkStart w:id="77" w:name="_Toc9892"/>
      <w:r>
        <w:rPr>
          <w:rStyle w:val="1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6"/>
          <w:rFonts w:hint="eastAsia" w:ascii="仿宋" w:hAnsi="仿宋" w:eastAsia="仿宋"/>
          <w:b w:val="0"/>
          <w:bCs w:val="0"/>
          <w:color w:val="auto"/>
          <w:highlight w:val="none"/>
        </w:rPr>
        <w:t>般公共预算财政拨款项目支出决算表</w:t>
      </w:r>
      <w:bookmarkEnd w:id="76"/>
      <w:bookmarkEnd w:id="77"/>
    </w:p>
    <w:p>
      <w:pPr>
        <w:pStyle w:val="4"/>
        <w:rPr>
          <w:rFonts w:ascii="仿宋" w:hAnsi="仿宋" w:eastAsia="仿宋"/>
          <w:color w:val="auto"/>
          <w:highlight w:val="none"/>
        </w:rPr>
      </w:pPr>
      <w:bookmarkStart w:id="78" w:name="_Toc27656"/>
      <w:bookmarkStart w:id="79" w:name="_Toc15396629"/>
      <w:r>
        <w:rPr>
          <w:rStyle w:val="16"/>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16"/>
          <w:rFonts w:hint="eastAsia" w:ascii="仿宋" w:hAnsi="仿宋" w:eastAsia="仿宋"/>
          <w:b w:val="0"/>
          <w:bCs w:val="0"/>
          <w:color w:val="auto"/>
          <w:highlight w:val="none"/>
        </w:rPr>
        <w:t>府性基金预算财政拨款收入支出决算表</w:t>
      </w:r>
      <w:bookmarkEnd w:id="78"/>
      <w:bookmarkEnd w:id="79"/>
    </w:p>
    <w:p>
      <w:pPr>
        <w:pStyle w:val="4"/>
        <w:rPr>
          <w:rStyle w:val="16"/>
          <w:rFonts w:hint="eastAsia" w:ascii="仿宋" w:hAnsi="仿宋" w:eastAsia="仿宋"/>
          <w:b w:val="0"/>
          <w:bCs w:val="0"/>
          <w:color w:val="auto"/>
          <w:highlight w:val="none"/>
        </w:rPr>
      </w:pPr>
      <w:bookmarkStart w:id="80" w:name="_Toc15396631"/>
      <w:bookmarkStart w:id="81" w:name="_Toc10614"/>
      <w:r>
        <w:rPr>
          <w:rStyle w:val="16"/>
          <w:rFonts w:hint="eastAsia" w:ascii="仿宋" w:hAnsi="仿宋" w:eastAsia="仿宋"/>
          <w:b w:val="0"/>
          <w:bCs w:val="0"/>
          <w:color w:val="auto"/>
          <w:highlight w:val="none"/>
        </w:rPr>
        <w:t>十</w:t>
      </w:r>
      <w:r>
        <w:rPr>
          <w:rStyle w:val="16"/>
          <w:rFonts w:hint="eastAsia" w:ascii="仿宋" w:hAnsi="仿宋" w:eastAsia="仿宋"/>
          <w:b w:val="0"/>
          <w:bCs w:val="0"/>
          <w:color w:val="auto"/>
          <w:highlight w:val="none"/>
          <w:lang w:val="en-US" w:eastAsia="zh-CN"/>
        </w:rPr>
        <w:t>一</w:t>
      </w:r>
      <w:r>
        <w:rPr>
          <w:rStyle w:val="16"/>
          <w:rFonts w:hint="eastAsia" w:ascii="仿宋" w:hAnsi="仿宋" w:eastAsia="仿宋"/>
          <w:b w:val="0"/>
          <w:bCs w:val="0"/>
          <w:color w:val="auto"/>
          <w:highlight w:val="none"/>
        </w:rPr>
        <w:t>、</w:t>
      </w:r>
      <w:r>
        <w:rPr>
          <w:rFonts w:hint="eastAsia" w:ascii="仿宋" w:hAnsi="仿宋" w:eastAsia="仿宋"/>
          <w:b w:val="0"/>
          <w:color w:val="auto"/>
          <w:highlight w:val="none"/>
        </w:rPr>
        <w:t>国</w:t>
      </w:r>
      <w:r>
        <w:rPr>
          <w:rStyle w:val="16"/>
          <w:rFonts w:hint="eastAsia" w:ascii="仿宋" w:hAnsi="仿宋" w:eastAsia="仿宋"/>
          <w:b w:val="0"/>
          <w:bCs w:val="0"/>
          <w:color w:val="auto"/>
          <w:highlight w:val="none"/>
        </w:rPr>
        <w:t>有资本经营预算</w:t>
      </w:r>
      <w:r>
        <w:rPr>
          <w:rStyle w:val="16"/>
          <w:rFonts w:hint="eastAsia" w:ascii="仿宋" w:hAnsi="仿宋" w:eastAsia="仿宋"/>
          <w:b w:val="0"/>
          <w:bCs w:val="0"/>
          <w:color w:val="auto"/>
          <w:highlight w:val="none"/>
          <w:lang w:eastAsia="zh-CN"/>
        </w:rPr>
        <w:t>财政拨款收入</w:t>
      </w:r>
      <w:r>
        <w:rPr>
          <w:rStyle w:val="16"/>
          <w:rFonts w:hint="eastAsia" w:ascii="仿宋" w:hAnsi="仿宋" w:eastAsia="仿宋"/>
          <w:b w:val="0"/>
          <w:bCs w:val="0"/>
          <w:color w:val="auto"/>
          <w:highlight w:val="none"/>
        </w:rPr>
        <w:t>支出决算表</w:t>
      </w:r>
      <w:bookmarkEnd w:id="80"/>
      <w:bookmarkEnd w:id="81"/>
    </w:p>
    <w:p>
      <w:pPr>
        <w:rPr>
          <w:rStyle w:val="16"/>
          <w:rFonts w:hint="eastAsia" w:ascii="仿宋" w:hAnsi="仿宋" w:eastAsia="仿宋"/>
          <w:b w:val="0"/>
          <w:bCs w:val="0"/>
          <w:color w:val="auto"/>
          <w:highlight w:val="none"/>
          <w:lang w:eastAsia="zh-CN"/>
        </w:rPr>
      </w:pPr>
      <w:bookmarkStart w:id="82" w:name="_Toc25071"/>
      <w:r>
        <w:rPr>
          <w:rStyle w:val="16"/>
          <w:rFonts w:hint="eastAsia" w:ascii="仿宋" w:hAnsi="仿宋" w:eastAsia="仿宋"/>
          <w:b w:val="0"/>
          <w:bCs w:val="0"/>
          <w:color w:val="auto"/>
          <w:highlight w:val="none"/>
          <w:lang w:eastAsia="zh-CN"/>
        </w:rPr>
        <w:t>十</w:t>
      </w:r>
      <w:r>
        <w:rPr>
          <w:rStyle w:val="16"/>
          <w:rFonts w:hint="eastAsia" w:ascii="仿宋" w:hAnsi="仿宋" w:eastAsia="仿宋"/>
          <w:b w:val="0"/>
          <w:bCs w:val="0"/>
          <w:color w:val="auto"/>
          <w:highlight w:val="none"/>
          <w:lang w:val="en-US" w:eastAsia="zh-CN"/>
        </w:rPr>
        <w:t>二</w:t>
      </w:r>
      <w:r>
        <w:rPr>
          <w:rStyle w:val="16"/>
          <w:rFonts w:hint="eastAsia" w:ascii="仿宋" w:hAnsi="仿宋" w:eastAsia="仿宋"/>
          <w:b w:val="0"/>
          <w:bCs w:val="0"/>
          <w:color w:val="auto"/>
          <w:highlight w:val="none"/>
          <w:lang w:eastAsia="zh-CN"/>
        </w:rPr>
        <w:t>、国有资本经营预算财政拨款支出决算表</w:t>
      </w:r>
      <w:bookmarkEnd w:id="82"/>
    </w:p>
    <w:p>
      <w:pPr>
        <w:pStyle w:val="2"/>
        <w:rPr>
          <w:rFonts w:hint="default"/>
          <w:lang w:val="en-US" w:eastAsia="zh-CN"/>
        </w:rPr>
      </w:pPr>
      <w:r>
        <w:rPr>
          <w:rStyle w:val="16"/>
          <w:rFonts w:hint="eastAsia" w:ascii="仿宋" w:hAnsi="仿宋" w:eastAsia="仿宋"/>
          <w:b w:val="0"/>
          <w:bCs w:val="0"/>
          <w:color w:val="auto"/>
          <w:highlight w:val="none"/>
          <w:lang w:val="en-US" w:eastAsia="zh-CN"/>
        </w:rPr>
        <w:t>十三、财政拨款“三公”经费支出决算表</w:t>
      </w:r>
    </w:p>
    <w:p>
      <w:pPr>
        <w:spacing w:line="600" w:lineRule="exact"/>
        <w:ind w:firstLine="640"/>
        <w:rPr>
          <w:rFonts w:hint="eastAsia" w:ascii="方正黑体_GBK" w:hAnsi="Times New Roman" w:eastAsia="方正黑体_GBK" w:cs="方正黑体_GBK"/>
          <w:color w:val="000000"/>
          <w:kern w:val="2"/>
          <w:sz w:val="33"/>
          <w:szCs w:val="33"/>
          <w:lang w:val="en-US" w:eastAsia="zh-CN" w:bidi="ar-SA"/>
        </w:rPr>
      </w:pPr>
    </w:p>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85AFF"/>
    <w:multiLevelType w:val="singleLevel"/>
    <w:tmpl w:val="80F85AFF"/>
    <w:lvl w:ilvl="0" w:tentative="0">
      <w:start w:val="2"/>
      <w:numFmt w:val="chineseCounting"/>
      <w:suff w:val="nothing"/>
      <w:lvlText w:val="（%1）"/>
      <w:lvlJc w:val="left"/>
      <w:rPr>
        <w:rFonts w:hint="eastAsia"/>
      </w:rPr>
    </w:lvl>
  </w:abstractNum>
  <w:abstractNum w:abstractNumId="1">
    <w:nsid w:val="81BC106B"/>
    <w:multiLevelType w:val="singleLevel"/>
    <w:tmpl w:val="81BC106B"/>
    <w:lvl w:ilvl="0" w:tentative="0">
      <w:start w:val="1"/>
      <w:numFmt w:val="chineseCounting"/>
      <w:suff w:val="nothing"/>
      <w:lvlText w:val="%1、"/>
      <w:lvlJc w:val="left"/>
      <w:rPr>
        <w:rFonts w:hint="eastAsia"/>
      </w:rPr>
    </w:lvl>
  </w:abstractNum>
  <w:abstractNum w:abstractNumId="2">
    <w:nsid w:val="836798DA"/>
    <w:multiLevelType w:val="singleLevel"/>
    <w:tmpl w:val="836798DA"/>
    <w:lvl w:ilvl="0" w:tentative="0">
      <w:start w:val="5"/>
      <w:numFmt w:val="chineseCounting"/>
      <w:suff w:val="nothing"/>
      <w:lvlText w:val="%1、"/>
      <w:lvlJc w:val="left"/>
      <w:rPr>
        <w:rFonts w:hint="eastAsia"/>
      </w:rPr>
    </w:lvl>
  </w:abstractNum>
  <w:abstractNum w:abstractNumId="3">
    <w:nsid w:val="A2FC1CA1"/>
    <w:multiLevelType w:val="singleLevel"/>
    <w:tmpl w:val="A2FC1CA1"/>
    <w:lvl w:ilvl="0" w:tentative="0">
      <w:start w:val="1"/>
      <w:numFmt w:val="chineseCounting"/>
      <w:suff w:val="nothing"/>
      <w:lvlText w:val="（%1）"/>
      <w:lvlJc w:val="left"/>
      <w:rPr>
        <w:rFonts w:hint="eastAsia"/>
      </w:rPr>
    </w:lvl>
  </w:abstractNum>
  <w:abstractNum w:abstractNumId="4">
    <w:nsid w:val="C9CF71F6"/>
    <w:multiLevelType w:val="singleLevel"/>
    <w:tmpl w:val="C9CF71F6"/>
    <w:lvl w:ilvl="0" w:tentative="0">
      <w:start w:val="11"/>
      <w:numFmt w:val="chineseCounting"/>
      <w:suff w:val="nothing"/>
      <w:lvlText w:val="%1、"/>
      <w:lvlJc w:val="left"/>
      <w:rPr>
        <w:rFonts w:hint="eastAsia"/>
      </w:rPr>
    </w:lvl>
  </w:abstractNum>
  <w:abstractNum w:abstractNumId="5">
    <w:nsid w:val="CEE4FFD9"/>
    <w:multiLevelType w:val="singleLevel"/>
    <w:tmpl w:val="CEE4FFD9"/>
    <w:lvl w:ilvl="0" w:tentative="0">
      <w:start w:val="1"/>
      <w:numFmt w:val="chineseCounting"/>
      <w:suff w:val="nothing"/>
      <w:lvlText w:val="%1、"/>
      <w:lvlJc w:val="left"/>
      <w:rPr>
        <w:rFonts w:hint="eastAsia"/>
      </w:rPr>
    </w:lvl>
  </w:abstractNum>
  <w:abstractNum w:abstractNumId="6">
    <w:nsid w:val="E2FA047D"/>
    <w:multiLevelType w:val="singleLevel"/>
    <w:tmpl w:val="E2FA047D"/>
    <w:lvl w:ilvl="0" w:tentative="0">
      <w:start w:val="3"/>
      <w:numFmt w:val="chineseCounting"/>
      <w:suff w:val="space"/>
      <w:lvlText w:val="第%1部分"/>
      <w:lvlJc w:val="left"/>
      <w:rPr>
        <w:rFonts w:hint="eastAsia"/>
      </w:rPr>
    </w:lvl>
  </w:abstractNum>
  <w:abstractNum w:abstractNumId="7">
    <w:nsid w:val="F4387D3E"/>
    <w:multiLevelType w:val="singleLevel"/>
    <w:tmpl w:val="F4387D3E"/>
    <w:lvl w:ilvl="0" w:tentative="0">
      <w:start w:val="1"/>
      <w:numFmt w:val="decimal"/>
      <w:lvlText w:val="%1."/>
      <w:lvlJc w:val="left"/>
      <w:pPr>
        <w:tabs>
          <w:tab w:val="left" w:pos="312"/>
        </w:tabs>
        <w:ind w:left="420" w:firstLine="0"/>
      </w:pPr>
    </w:lvl>
  </w:abstractNum>
  <w:abstractNum w:abstractNumId="8">
    <w:nsid w:val="219D5A44"/>
    <w:multiLevelType w:val="singleLevel"/>
    <w:tmpl w:val="219D5A44"/>
    <w:lvl w:ilvl="0" w:tentative="0">
      <w:start w:val="3"/>
      <w:numFmt w:val="chineseCounting"/>
      <w:suff w:val="nothing"/>
      <w:lvlText w:val="%1、"/>
      <w:lvlJc w:val="left"/>
      <w:rPr>
        <w:rFonts w:hint="eastAsia"/>
      </w:rPr>
    </w:lvl>
  </w:abstractNum>
  <w:abstractNum w:abstractNumId="9">
    <w:nsid w:val="559AF161"/>
    <w:multiLevelType w:val="singleLevel"/>
    <w:tmpl w:val="559AF161"/>
    <w:lvl w:ilvl="0" w:tentative="0">
      <w:start w:val="1"/>
      <w:numFmt w:val="chineseCounting"/>
      <w:suff w:val="space"/>
      <w:lvlText w:val="第%1部分"/>
      <w:lvlJc w:val="left"/>
      <w:rPr>
        <w:rFonts w:hint="eastAsia"/>
      </w:rPr>
    </w:lvl>
  </w:abstractNum>
  <w:abstractNum w:abstractNumId="10">
    <w:nsid w:val="6AFC0983"/>
    <w:multiLevelType w:val="singleLevel"/>
    <w:tmpl w:val="6AFC0983"/>
    <w:lvl w:ilvl="0" w:tentative="0">
      <w:start w:val="1"/>
      <w:numFmt w:val="chineseCounting"/>
      <w:suff w:val="nothing"/>
      <w:lvlText w:val="（%1）"/>
      <w:lvlJc w:val="left"/>
      <w:rPr>
        <w:rFonts w:hint="eastAsia"/>
      </w:rPr>
    </w:lvl>
  </w:abstractNum>
  <w:num w:numId="1">
    <w:abstractNumId w:val="9"/>
  </w:num>
  <w:num w:numId="2">
    <w:abstractNumId w:val="1"/>
  </w:num>
  <w:num w:numId="3">
    <w:abstractNumId w:val="3"/>
  </w:num>
  <w:num w:numId="4">
    <w:abstractNumId w:val="5"/>
  </w:num>
  <w:num w:numId="5">
    <w:abstractNumId w:val="2"/>
  </w:num>
  <w:num w:numId="6">
    <w:abstractNumId w:val="10"/>
  </w:num>
  <w:num w:numId="7">
    <w:abstractNumId w:val="7"/>
  </w:num>
  <w:num w:numId="8">
    <w:abstractNumId w:val="4"/>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TdmZGYxYjgwZTQzYWFlMzIyNWE3NDkzN2NjYmQifQ=="/>
  </w:docVars>
  <w:rsids>
    <w:rsidRoot w:val="4B9921BE"/>
    <w:rsid w:val="00C44682"/>
    <w:rsid w:val="01551CDB"/>
    <w:rsid w:val="037574C7"/>
    <w:rsid w:val="05DD5016"/>
    <w:rsid w:val="06112431"/>
    <w:rsid w:val="081528AD"/>
    <w:rsid w:val="0B02739C"/>
    <w:rsid w:val="11EA4F9D"/>
    <w:rsid w:val="17314A42"/>
    <w:rsid w:val="1F9B6462"/>
    <w:rsid w:val="21C72590"/>
    <w:rsid w:val="2244072D"/>
    <w:rsid w:val="22892FFC"/>
    <w:rsid w:val="25E56CCC"/>
    <w:rsid w:val="286536CA"/>
    <w:rsid w:val="29DC0031"/>
    <w:rsid w:val="2A8F72E4"/>
    <w:rsid w:val="388B1890"/>
    <w:rsid w:val="39C1626D"/>
    <w:rsid w:val="43477358"/>
    <w:rsid w:val="44AD2728"/>
    <w:rsid w:val="4B9921BE"/>
    <w:rsid w:val="4BE1118D"/>
    <w:rsid w:val="4E4E6903"/>
    <w:rsid w:val="4EC30EE1"/>
    <w:rsid w:val="4F2F5BD2"/>
    <w:rsid w:val="526437E9"/>
    <w:rsid w:val="56FE34FC"/>
    <w:rsid w:val="5EF84876"/>
    <w:rsid w:val="63016701"/>
    <w:rsid w:val="653C0E5E"/>
    <w:rsid w:val="666455E3"/>
    <w:rsid w:val="68715398"/>
    <w:rsid w:val="6AEF10A8"/>
    <w:rsid w:val="6D6454D8"/>
    <w:rsid w:val="6D6869E5"/>
    <w:rsid w:val="6D7E29EC"/>
    <w:rsid w:val="70B72BCC"/>
    <w:rsid w:val="762C6D6F"/>
    <w:rsid w:val="7AA3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kern w:val="0"/>
      <w:sz w:val="30"/>
    </w:rPr>
  </w:style>
  <w:style w:type="paragraph" w:styleId="6">
    <w:name w:val="Normal Indent"/>
    <w:basedOn w:val="1"/>
    <w:qFormat/>
    <w:uiPriority w:val="99"/>
    <w:pPr>
      <w:ind w:firstLine="420" w:firstLineChars="200"/>
    </w:pPr>
  </w:style>
  <w:style w:type="paragraph" w:styleId="7">
    <w:name w:val="toc 3"/>
    <w:basedOn w:val="1"/>
    <w:next w:val="1"/>
    <w:qFormat/>
    <w:uiPriority w:val="0"/>
    <w:pPr>
      <w:ind w:left="840" w:leftChars="400"/>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customStyle="1" w:styleId="16">
    <w:name w:val="标题 2 Char"/>
    <w:basedOn w:val="14"/>
    <w:link w:val="4"/>
    <w:qFormat/>
    <w:uiPriority w:val="9"/>
    <w:rPr>
      <w:rFonts w:ascii="Arial" w:hAnsi="Arial" w:eastAsia="黑体"/>
      <w:b/>
      <w:sz w:val="32"/>
    </w:rPr>
  </w:style>
  <w:style w:type="character" w:customStyle="1" w:styleId="17">
    <w:name w:val="标题 1 Char"/>
    <w:basedOn w:val="14"/>
    <w:link w:val="3"/>
    <w:qFormat/>
    <w:uiPriority w:val="9"/>
    <w:rPr>
      <w:b/>
      <w:kern w:val="44"/>
      <w:sz w:val="44"/>
    </w:rPr>
  </w:style>
  <w:style w:type="paragraph" w:customStyle="1" w:styleId="1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22&#20915;&#31639;&#25968;&#2545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022&#20915;&#31639;&#25968;&#2545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2022&#20915;&#31639;&#25968;&#2545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022&#20915;&#31639;&#25968;&#2545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022&#20915;&#31639;&#25968;&#2545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2022&#20915;&#31639;&#25968;&#25454;.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lenovo\Desktop\2022&#20915;&#31639;&#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2021</a:t>
            </a:r>
            <a:r>
              <a:rPr altLang="en-US"/>
              <a:t>、</a:t>
            </a:r>
            <a:r>
              <a:rPr lang="en-US" altLang="zh-CN"/>
              <a:t>2022</a:t>
            </a:r>
            <a:r>
              <a:rPr altLang="en-US"/>
              <a:t>年收支情况对比</a:t>
            </a:r>
            <a:endParaRPr lang="en-US" altLang="zh-CN"/>
          </a:p>
        </c:rich>
      </c:tx>
      <c:layout/>
      <c:overlay val="0"/>
      <c:spPr>
        <a:noFill/>
        <a:ln>
          <a:noFill/>
        </a:ln>
        <a:effectLst/>
      </c:spPr>
    </c:title>
    <c:autoTitleDeleted val="0"/>
    <c:plotArea>
      <c:layout/>
      <c:barChart>
        <c:barDir val="col"/>
        <c:grouping val="clustered"/>
        <c:varyColors val="0"/>
        <c:ser>
          <c:idx val="0"/>
          <c:order val="0"/>
          <c:tx>
            <c:strRef>
              <c:f>[2022决算数据.xlsx]Sheet3!$A$4</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[2022决算数据.xlsx]Sheet3!$B$3:$C$3</c:f>
              <c:strCache>
                <c:ptCount val="2"/>
                <c:pt idx="0">
                  <c:v>2021年</c:v>
                </c:pt>
                <c:pt idx="1">
                  <c:v>2022年</c:v>
                </c:pt>
              </c:strCache>
            </c:strRef>
          </c:cat>
          <c:val>
            <c:numRef>
              <c:f>[2022决算数据.xlsx]Sheet3!$B$4:$C$4</c:f>
              <c:numCache>
                <c:formatCode>General</c:formatCode>
                <c:ptCount val="2"/>
                <c:pt idx="0">
                  <c:v>5548.06</c:v>
                </c:pt>
                <c:pt idx="1">
                  <c:v>6196.96</c:v>
                </c:pt>
              </c:numCache>
            </c:numRef>
          </c:val>
        </c:ser>
        <c:ser>
          <c:idx val="1"/>
          <c:order val="1"/>
          <c:tx>
            <c:strRef>
              <c:f>[2022决算数据.xlsx]Sheet3!$A$5</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[2022决算数据.xlsx]Sheet3!$B$3:$C$3</c:f>
              <c:strCache>
                <c:ptCount val="2"/>
                <c:pt idx="0">
                  <c:v>2021年</c:v>
                </c:pt>
                <c:pt idx="1">
                  <c:v>2022年</c:v>
                </c:pt>
              </c:strCache>
            </c:strRef>
          </c:cat>
          <c:val>
            <c:numRef>
              <c:f>[2022决算数据.xlsx]Sheet3!$B$5:$C$5</c:f>
              <c:numCache>
                <c:formatCode>General</c:formatCode>
                <c:ptCount val="2"/>
                <c:pt idx="0">
                  <c:v>5478.92</c:v>
                </c:pt>
                <c:pt idx="1">
                  <c:v>6266.1</c:v>
                </c:pt>
              </c:numCache>
            </c:numRef>
          </c:val>
        </c:ser>
        <c:dLbls>
          <c:showLegendKey val="0"/>
          <c:showVal val="1"/>
          <c:showCatName val="0"/>
          <c:showSerName val="0"/>
          <c:showPercent val="0"/>
          <c:showBubbleSize val="0"/>
        </c:dLbls>
        <c:gapWidth val="246"/>
        <c:overlap val="-28"/>
        <c:axId val="660706519"/>
        <c:axId val="647807123"/>
      </c:barChart>
      <c:catAx>
        <c:axId val="6607065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7807123"/>
        <c:crosses val="autoZero"/>
        <c:auto val="1"/>
        <c:lblAlgn val="ctr"/>
        <c:lblOffset val="100"/>
        <c:noMultiLvlLbl val="0"/>
      </c:catAx>
      <c:valAx>
        <c:axId val="64780712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70651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[2022决算数据.xlsx]Sheet3!$A$17:$A$18</c:f>
              <c:strCache>
                <c:ptCount val="2"/>
                <c:pt idx="0">
                  <c:v>财政拨款收入（单位：万元）</c:v>
                </c:pt>
                <c:pt idx="1">
                  <c:v>事业收入（单位：万元）</c:v>
                </c:pt>
              </c:strCache>
            </c:strRef>
          </c:cat>
          <c:val>
            <c:numRef>
              <c:f>[2022决算数据.xlsx]Sheet3!$B$17:$B$18</c:f>
              <c:numCache>
                <c:formatCode>General</c:formatCode>
                <c:ptCount val="2"/>
                <c:pt idx="0">
                  <c:v>2162.49</c:v>
                </c:pt>
                <c:pt idx="1">
                  <c:v>3762.21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收入决算变动情况图</a:t>
            </a:r>
          </a:p>
        </c:rich>
      </c:tx>
      <c:layout/>
      <c:overlay val="0"/>
      <c:spPr>
        <a:noFill/>
        <a:ln>
          <a:noFill/>
        </a:ln>
        <a:effectLst/>
      </c:spPr>
    </c:title>
    <c:autoTitleDeleted val="0"/>
    <c:plotArea>
      <c:layout/>
      <c:barChart>
        <c:barDir val="col"/>
        <c:grouping val="clustered"/>
        <c:varyColors val="0"/>
        <c:ser>
          <c:idx val="0"/>
          <c:order val="0"/>
          <c:tx>
            <c:strRef>
              <c:f>[2022决算数据.xlsx]Sheet3!$A$32</c:f>
              <c:strCache>
                <c:ptCount val="1"/>
                <c:pt idx="0">
                  <c:v>财政拨款收入（万元）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[2022决算数据.xlsx]Sheet3!$B$31:$C$31</c:f>
              <c:strCache>
                <c:ptCount val="2"/>
                <c:pt idx="0">
                  <c:v>2021年</c:v>
                </c:pt>
                <c:pt idx="1">
                  <c:v>2022年</c:v>
                </c:pt>
              </c:strCache>
            </c:strRef>
          </c:cat>
          <c:val>
            <c:numRef>
              <c:f>[2022决算数据.xlsx]Sheet3!$B$32:$C$32</c:f>
              <c:numCache>
                <c:formatCode>General</c:formatCode>
                <c:ptCount val="2"/>
                <c:pt idx="0">
                  <c:v>1612.09</c:v>
                </c:pt>
                <c:pt idx="1">
                  <c:v>2162.49</c:v>
                </c:pt>
              </c:numCache>
            </c:numRef>
          </c:val>
        </c:ser>
        <c:ser>
          <c:idx val="1"/>
          <c:order val="1"/>
          <c:tx>
            <c:strRef>
              <c:f>[2022决算数据.xlsx]Sheet3!$A$33</c:f>
              <c:strCache>
                <c:ptCount val="1"/>
                <c:pt idx="0">
                  <c:v>事业收入（万元）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[2022决算数据.xlsx]Sheet3!$B$31:$C$31</c:f>
              <c:strCache>
                <c:ptCount val="2"/>
                <c:pt idx="0">
                  <c:v>2021年</c:v>
                </c:pt>
                <c:pt idx="1">
                  <c:v>2022年</c:v>
                </c:pt>
              </c:strCache>
            </c:strRef>
          </c:cat>
          <c:val>
            <c:numRef>
              <c:f>[2022决算数据.xlsx]Sheet3!$B$33:$C$33</c:f>
              <c:numCache>
                <c:formatCode>General</c:formatCode>
                <c:ptCount val="2"/>
                <c:pt idx="0">
                  <c:v>3357.99</c:v>
                </c:pt>
                <c:pt idx="1">
                  <c:v>3762.21</c:v>
                </c:pt>
              </c:numCache>
            </c:numRef>
          </c:val>
        </c:ser>
        <c:dLbls>
          <c:showLegendKey val="0"/>
          <c:showVal val="1"/>
          <c:showCatName val="0"/>
          <c:showSerName val="0"/>
          <c:showPercent val="0"/>
          <c:showBubbleSize val="0"/>
        </c:dLbls>
        <c:gapWidth val="246"/>
        <c:overlap val="-28"/>
        <c:axId val="434016485"/>
        <c:axId val="401489198"/>
      </c:barChart>
      <c:catAx>
        <c:axId val="4340164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1489198"/>
        <c:crosses val="autoZero"/>
        <c:auto val="1"/>
        <c:lblAlgn val="ctr"/>
        <c:lblOffset val="100"/>
        <c:noMultiLvlLbl val="0"/>
      </c:catAx>
      <c:valAx>
        <c:axId val="40148919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40164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[2022决算数据.xlsx]Sheet3!$A$44:$A$46</c:f>
              <c:strCache>
                <c:ptCount val="3"/>
                <c:pt idx="0">
                  <c:v>社会保障和就业支出(万元）</c:v>
                </c:pt>
                <c:pt idx="1">
                  <c:v>卫生健康支出（万元）</c:v>
                </c:pt>
                <c:pt idx="2">
                  <c:v>住房保障支出（万元）</c:v>
                </c:pt>
              </c:strCache>
            </c:strRef>
          </c:cat>
          <c:val>
            <c:numRef>
              <c:f>[2022决算数据.xlsx]Sheet3!$B$44:$B$46</c:f>
              <c:numCache>
                <c:formatCode>#,##0.00</c:formatCode>
                <c:ptCount val="3"/>
                <c:pt idx="0">
                  <c:v>279.25</c:v>
                </c:pt>
                <c:pt idx="1">
                  <c:v>5847.88</c:v>
                </c:pt>
                <c:pt idx="2">
                  <c:v>75.85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[2022决算数据.xlsx]Sheet3!$B$59</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[2022决算数据.xlsx]Sheet3!$A$60:$A$62</c:f>
              <c:strCache>
                <c:ptCount val="3"/>
                <c:pt idx="0">
                  <c:v>社会保障和就业支出</c:v>
                </c:pt>
                <c:pt idx="1">
                  <c:v>卫生健康支出</c:v>
                </c:pt>
                <c:pt idx="2">
                  <c:v>住房保障支出</c:v>
                </c:pt>
              </c:strCache>
            </c:strRef>
          </c:cat>
          <c:val>
            <c:numRef>
              <c:f>[2022决算数据.xlsx]Sheet3!$B$60:$B$62</c:f>
              <c:numCache>
                <c:formatCode>General</c:formatCode>
                <c:ptCount val="3"/>
                <c:pt idx="0">
                  <c:v>232.25</c:v>
                </c:pt>
                <c:pt idx="1">
                  <c:v>5178.94</c:v>
                </c:pt>
                <c:pt idx="2">
                  <c:v>67.73</c:v>
                </c:pt>
              </c:numCache>
            </c:numRef>
          </c:val>
        </c:ser>
        <c:ser>
          <c:idx val="1"/>
          <c:order val="1"/>
          <c:tx>
            <c:strRef>
              <c:f>[2022决算数据.xlsx]Sheet3!$C$59</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[2022决算数据.xlsx]Sheet3!$A$60:$A$62</c:f>
              <c:strCache>
                <c:ptCount val="3"/>
                <c:pt idx="0">
                  <c:v>社会保障和就业支出</c:v>
                </c:pt>
                <c:pt idx="1">
                  <c:v>卫生健康支出</c:v>
                </c:pt>
                <c:pt idx="2">
                  <c:v>住房保障支出</c:v>
                </c:pt>
              </c:strCache>
            </c:strRef>
          </c:cat>
          <c:val>
            <c:numRef>
              <c:f>[2022决算数据.xlsx]Sheet3!$C$60:$C$62</c:f>
              <c:numCache>
                <c:formatCode>#,##0.00</c:formatCode>
                <c:ptCount val="3"/>
                <c:pt idx="0">
                  <c:v>279.25</c:v>
                </c:pt>
                <c:pt idx="1">
                  <c:v>5847.88</c:v>
                </c:pt>
                <c:pt idx="2">
                  <c:v>75.85</c:v>
                </c:pt>
              </c:numCache>
            </c:numRef>
          </c:val>
        </c:ser>
        <c:dLbls>
          <c:showLegendKey val="0"/>
          <c:showVal val="1"/>
          <c:showCatName val="0"/>
          <c:showSerName val="0"/>
          <c:showPercent val="0"/>
          <c:showBubbleSize val="0"/>
        </c:dLbls>
        <c:gapWidth val="246"/>
        <c:overlap val="-28"/>
        <c:axId val="792595618"/>
        <c:axId val="141520000"/>
      </c:barChart>
      <c:catAx>
        <c:axId val="7925956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520000"/>
        <c:crosses val="autoZero"/>
        <c:auto val="1"/>
        <c:lblAlgn val="ctr"/>
        <c:lblOffset val="100"/>
        <c:noMultiLvlLbl val="0"/>
      </c:catAx>
      <c:valAx>
        <c:axId val="14152000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25956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[2022决算数据.xlsx]Sheet3!$A$76:$A$77</c:f>
              <c:strCache>
                <c:ptCount val="2"/>
                <c:pt idx="0">
                  <c:v>一般公共预算财政拨款支出（万元）</c:v>
                </c:pt>
                <c:pt idx="1">
                  <c:v>事业支出（万元）</c:v>
                </c:pt>
              </c:strCache>
            </c:strRef>
          </c:cat>
          <c:val>
            <c:numRef>
              <c:f>[2022决算数据.xlsx]Sheet3!$B$76:$B$77</c:f>
              <c:numCache>
                <c:formatCode>#,##0.00</c:formatCode>
                <c:ptCount val="2"/>
                <c:pt idx="0">
                  <c:v>2162.49</c:v>
                </c:pt>
                <c:pt idx="1">
                  <c:v>6266.1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57894736842105"/>
          <c:y val="0.03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[2022决算数据.xlsx]Sheet3!$A$91:$A$93</c:f>
              <c:strCache>
                <c:ptCount val="3"/>
                <c:pt idx="0">
                  <c:v>社会保障和就业支出</c:v>
                </c:pt>
                <c:pt idx="1">
                  <c:v>卫生健康支出</c:v>
                </c:pt>
                <c:pt idx="2">
                  <c:v>住房保障支出</c:v>
                </c:pt>
              </c:strCache>
            </c:strRef>
          </c:cat>
          <c:val>
            <c:numRef>
              <c:f>[2022决算数据.xlsx]Sheet3!$B$91:$B$93</c:f>
              <c:numCache>
                <c:formatCode>#,##0.00</c:formatCode>
                <c:ptCount val="3"/>
                <c:pt idx="0">
                  <c:v>279.25</c:v>
                </c:pt>
                <c:pt idx="1">
                  <c:v>1744.27</c:v>
                </c:pt>
                <c:pt idx="2">
                  <c:v>75.85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7852</Words>
  <Characters>8503</Characters>
  <Lines>0</Lines>
  <Paragraphs>0</Paragraphs>
  <TotalTime>8</TotalTime>
  <ScaleCrop>false</ScaleCrop>
  <LinksUpToDate>false</LinksUpToDate>
  <CharactersWithSpaces>8724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2023-05-31T13:16:00Z</dcterms:created>
  <dc:creator>lenovo</dc:creator>
  <cp:lastModifiedBy>1</cp:lastModifiedBy>
  <dcterms:modified xsi:type="dcterms:W3CDTF">2025-01-17T01:35:08Z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94A5341CAF23495B8E27AA5BF51719F5_13</vt:lpwstr>
  </property>
</Properties>
</file>