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广安区2023年服务业高质量发展示范区项目专项资金管理办法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868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-3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第一章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总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第一条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为加强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服务业高质量发展示范区项目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专项资金（以下简称专项资金）管理，充分发挥专项资金使用效益，根据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四川省财政厅 四川省商务厅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关于印发省级服务业发展专项资金管理办法的通知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财建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177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四川省财政厅 四川省商务厅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关于进一步加强商务发展相关专项资金管理的通知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财建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138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精神，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制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定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办法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第二条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办法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所称专项资金是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指202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创建服务业高质量发展示范区项目资金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用于广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安区20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服务业高质量发展示范区项目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建设。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第三条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专项资金由区财政局、区商务局共同管理，按照部门职责分工实施管理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区商务局。负责项目申报、组织实施和监督管理；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en-US" w:eastAsia="zh-CN"/>
        </w:rPr>
        <w:t>负责对专项资金实行绩效监控并开展本地区专项资金绩效自评。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（二）区财政局。负责专项资金拨付和监督管理，组织实施本地区专项资金绩效评价。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（三）项目单位。负责项目的具体实施，收集、整理和报送项目执行相关信息；负责对申报项目资料的真实性、完整性和合规性负责；负责按相关规定对项目进度、工程质量严格把关；负责对项目绩效进行自评。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专项资金支持对象应符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合我区经济发展规划和中、省、市、区确定的产业及区域发展方向，确保专项资金使用规范高效。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zh-TW" w:eastAsia="zh-TW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第二章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遵循原则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CN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CN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资金实行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专人管理、专账核算、专项使用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TW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TW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资金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要按规定用途使用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，任何单位不得擅自调项、扩项、缩项，更不准拆借、挪用、挤占和随意扣压。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TW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 w:eastAsia="zh-TW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所有项目实施必须坚持公开透明的原则。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按计划实施项目，申报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</w:rPr>
        <w:t>单位作为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项目的管理单位对项目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建设进度及资金使用情况进行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/>
        </w:rPr>
        <w:t>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13" w:firstLineChars="186"/>
        <w:textAlignment w:val="auto"/>
        <w:rPr>
          <w:rFonts w:hint="default" w:ascii="Times New Roman" w:hAnsi="Times New Roman" w:eastAsia="方正黑体_GBK" w:cs="Times New Roman"/>
          <w:bCs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zh-TW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项目应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按照实施方案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实施，如有特殊情况需对个别项目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调整的，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需由区商务局提出调整意见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报区政府同意后，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按程序报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省财政厅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省商务厅、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省人社厅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备案后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第三章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资金支持方向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主导产业发展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  <w:t>。围绕构建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  <w:t>2+5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  <w:t>现代服务业体系，大力发展商业贸易、文化旅游两大优势服务业，推动主导产业提质增效。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 xml:space="preserve">第十条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创新驱动发展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/>
        </w:rPr>
        <w:t>。鼓励全区服务业企业发展智慧化服务、消费新场景、电商直播等新业态，加快产品创新、业态创新和模式创新。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 xml:space="preserve"> 产业融合发展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</w:rPr>
        <w:t>。依托我区优质农特产品基础，构建一二三产业融合发展良好态势。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第四章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项目资金的申报和审批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项目业主单位为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在广安区注册、具有健全的财务机构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财务管理制度的独立法人企业，且近三年内没有违法违纪行为。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 xml:space="preserve"> 对中央和省级财政其他资金已经支持的项目，专项资金原则上不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得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按照公平、公正、公开的原则，择优选择支持项目，按程序报区政府审定后对外公示。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zh-TW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zh-TW" w:eastAsia="zh-TW"/>
        </w:rPr>
        <w:t>采取以奖代补的方式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en-US" w:eastAsia="zh-CN"/>
        </w:rPr>
        <w:t>对支持项目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zh-TW" w:eastAsia="zh-TW"/>
        </w:rPr>
        <w:t>进行定额补助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3"/>
          <w:szCs w:val="33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  <w:t>第五章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</w:rPr>
        <w:t>项目的验收及资金拨付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Chars="0"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实施过程中，项目业主单位应积极接受省财政厅等部门组织的中期绩效评价。中期绩效评价前，专项资金拨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付比例不得超过70%，顺利通过后予以保障后续补助资金，否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则取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消未兑现的补助资金。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对建设类项目补助资金，按照项目进度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分批拨付专项资金，原则上不超过3次，且最后一次为通过竣工验收后拨付。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第十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补助资金额度较小（不超过100万元）或占项目总投资不超过10%的，可按程序一次性拨付到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，但中期绩效评价前专项资金拨付比例不得超过70%。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zh-TW" w:eastAsia="zh-TW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zh-TW" w:eastAsia="zh-TW"/>
        </w:rPr>
        <w:t>条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 xml:space="preserve"> 项目完成后，项目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zh-TW" w:eastAsia="zh-TW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highlight w:val="none"/>
          <w:lang w:val="en-US" w:eastAsia="zh-CN"/>
        </w:rPr>
        <w:t>对项目实施情况开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展绩效自评，并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向区商务局书面提交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验收申请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区商务局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区财政局对项目进行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区级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验收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区商务局、区财政局分别对专项资金开展绩效自评和绩效评价。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二十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区级项目验收合格后，区商务局聘请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第三方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专业机构对资金使用情况进行审计，再联合区财政局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等单位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向市商务局、市财政局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等单位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申请市级验收和绩效评价。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60" w:firstLineChars="200"/>
        <w:textAlignment w:val="auto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第六章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sz w:val="33"/>
          <w:szCs w:val="33"/>
        </w:rPr>
        <w:t>资金的监督和管理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二十一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区商务局、区财政局负责对专项资金的使用和项目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建设进展情况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进行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日常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监督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管理，及时发现和纠正问题，充分发挥资金使用效益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。各资金使用单位应自觉接受区商务局、区财政局等部门的监督检查。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第二十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对实施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进度情况差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的项目，应暂缓资金拨付并限期整改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限期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整改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到位的项目，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按程序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逐级上报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清退、变更。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第二十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资金必须专款专用，对项目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业主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单位在专项资金申报和使用中违反本办法规定的，将全额追回已拨付的款项，并按有关规定追究相关单位和有关人员的责任。对弄虚作假、截留、挪用、挤占专项资金等行为，自次年起三年内不再受理该项目业主单位的专项资金申请，并按《财政违法行为处罚处分条例》（国务院令第427号）的相关规定进行处理。构成犯罪的，依法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cs="Times New Roman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第七章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Cs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第二十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 xml:space="preserve">条 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 xml:space="preserve">由区商务局负责解释和修订。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第二十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条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本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zh-TW" w:eastAsia="zh-TW"/>
        </w:rPr>
        <w:t>自发布之日起施行。</w:t>
      </w:r>
    </w:p>
    <w:p>
      <w:pPr>
        <w:bidi w:val="0"/>
        <w:jc w:val="distribute"/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WJkMWQzMzI3MTUwNzYzZjM1YWY1ZDkzODdlY2IifQ=="/>
  </w:docVars>
  <w:rsids>
    <w:rsidRoot w:val="7DE24178"/>
    <w:rsid w:val="49C56590"/>
    <w:rsid w:val="7DE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Salutation"/>
    <w:basedOn w:val="1"/>
    <w:next w:val="1"/>
    <w:qFormat/>
    <w:uiPriority w:val="99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2024-03-11T07:41:00Z</dcterms:created>
  <dc:creator>Liquor</dc:creator>
  <cp:lastModifiedBy>Liquor</cp:lastModifiedBy>
  <dcterms:modified xsi:type="dcterms:W3CDTF">2024-03-11T07:46:33Z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019D6588A72D47B8BCE5A4CEE3D06D5A_11</vt:lpwstr>
  </property>
</Properties>
</file>