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590" w:lineRule="exact"/>
        <w:rPr>
          <w:rFonts w:hint="eastAsia" w:ascii="黑体" w:hAnsi="黑体" w:eastAsia="黑体" w:cs="黑体"/>
          <w:sz w:val="32"/>
          <w:szCs w:val="32"/>
        </w:rPr>
      </w:pPr>
    </w:p>
    <w:p>
      <w:pPr>
        <w:overflowPunct w:val="0"/>
        <w:autoSpaceDE w:val="0"/>
        <w:autoSpaceDN w:val="0"/>
        <w:adjustRightInd w:val="0"/>
        <w:snapToGrid w:val="0"/>
        <w:spacing w:line="200" w:lineRule="exact"/>
        <w:jc w:val="center"/>
        <w:rPr>
          <w:rFonts w:ascii="方正小标宋_GBK" w:hAnsi="方正小标宋_GBK" w:eastAsia="方正小标宋_GBK" w:cs="方正小标宋_GBK"/>
          <w:sz w:val="44"/>
          <w:szCs w:val="44"/>
        </w:rPr>
      </w:pPr>
    </w:p>
    <w:p>
      <w:pPr>
        <w:overflowPunct w:val="0"/>
        <w:autoSpaceDE w:val="0"/>
        <w:autoSpaceDN w:val="0"/>
        <w:adjustRightInd w:val="0"/>
        <w:snapToGrid w:val="0"/>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广安市广安区城市网格化管理定岗表（模板）</w:t>
      </w:r>
    </w:p>
    <w:p>
      <w:pPr>
        <w:overflowPunct w:val="0"/>
        <w:autoSpaceDE w:val="0"/>
        <w:autoSpaceDN w:val="0"/>
        <w:adjustRightInd w:val="0"/>
        <w:snapToGrid w:val="0"/>
        <w:spacing w:line="400" w:lineRule="exact"/>
        <w:jc w:val="center"/>
        <w:rPr>
          <w:rFonts w:ascii="方正小标宋_GBK" w:hAnsi="方正小标宋_GBK" w:eastAsia="方正小标宋_GBK" w:cs="方正小标宋_GBK"/>
          <w:sz w:val="44"/>
          <w:szCs w:val="44"/>
        </w:rPr>
      </w:pPr>
    </w:p>
    <w:tbl>
      <w:tblPr>
        <w:tblStyle w:val="5"/>
        <w:tblW w:w="15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018"/>
        <w:gridCol w:w="1932"/>
        <w:gridCol w:w="2232"/>
        <w:gridCol w:w="2796"/>
        <w:gridCol w:w="1452"/>
        <w:gridCol w:w="900"/>
        <w:gridCol w:w="1344"/>
        <w:gridCol w:w="864"/>
        <w:gridCol w:w="84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blHeader/>
        </w:trPr>
        <w:tc>
          <w:tcPr>
            <w:tcW w:w="497" w:type="dxa"/>
            <w:vMerge w:val="restart"/>
            <w:tcBorders>
              <w:bottom w:val="nil"/>
            </w:tcBorders>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序号</w:t>
            </w:r>
          </w:p>
        </w:tc>
        <w:tc>
          <w:tcPr>
            <w:tcW w:w="1018" w:type="dxa"/>
            <w:vMerge w:val="restart"/>
            <w:tcBorders>
              <w:bottom w:val="nil"/>
            </w:tcBorders>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网格</w:t>
            </w:r>
          </w:p>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名称</w:t>
            </w:r>
          </w:p>
        </w:tc>
        <w:tc>
          <w:tcPr>
            <w:tcW w:w="6960" w:type="dxa"/>
            <w:gridSpan w:val="3"/>
            <w:tcBorders>
              <w:bottom w:val="nil"/>
            </w:tcBorders>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街道</w:t>
            </w:r>
          </w:p>
        </w:tc>
        <w:tc>
          <w:tcPr>
            <w:tcW w:w="6780" w:type="dxa"/>
            <w:gridSpan w:val="6"/>
            <w:tcBorders>
              <w:bottom w:val="nil"/>
            </w:tcBorders>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网格成员（姓名及联系电话）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blHeader/>
        </w:trPr>
        <w:tc>
          <w:tcPr>
            <w:tcW w:w="497" w:type="dxa"/>
            <w:vMerge w:val="continue"/>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p>
        </w:tc>
        <w:tc>
          <w:tcPr>
            <w:tcW w:w="1018" w:type="dxa"/>
            <w:vMerge w:val="continue"/>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p>
        </w:tc>
        <w:tc>
          <w:tcPr>
            <w:tcW w:w="1932" w:type="dxa"/>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一类街</w:t>
            </w:r>
          </w:p>
        </w:tc>
        <w:tc>
          <w:tcPr>
            <w:tcW w:w="2232" w:type="dxa"/>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二类街</w:t>
            </w:r>
          </w:p>
        </w:tc>
        <w:tc>
          <w:tcPr>
            <w:tcW w:w="2796" w:type="dxa"/>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三类街</w:t>
            </w:r>
          </w:p>
        </w:tc>
        <w:tc>
          <w:tcPr>
            <w:tcW w:w="1452" w:type="dxa"/>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网格长</w:t>
            </w:r>
          </w:p>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（社区主任）</w:t>
            </w:r>
          </w:p>
        </w:tc>
        <w:tc>
          <w:tcPr>
            <w:tcW w:w="900" w:type="dxa"/>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住建局</w:t>
            </w:r>
          </w:p>
        </w:tc>
        <w:tc>
          <w:tcPr>
            <w:tcW w:w="1344" w:type="dxa"/>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综合执法局</w:t>
            </w:r>
          </w:p>
        </w:tc>
        <w:tc>
          <w:tcPr>
            <w:tcW w:w="864" w:type="dxa"/>
            <w:vAlign w:val="center"/>
          </w:tcPr>
          <w:p>
            <w:pPr>
              <w:overflowPunct w:val="0"/>
              <w:autoSpaceDE w:val="0"/>
              <w:autoSpaceDN w:val="0"/>
              <w:adjustRightInd w:val="0"/>
              <w:snapToGrid w:val="0"/>
              <w:spacing w:line="300" w:lineRule="exact"/>
              <w:jc w:val="center"/>
              <w:rPr>
                <w:rFonts w:hint="eastAsia" w:ascii="黑体" w:hAnsi="黑体" w:eastAsia="黑体" w:cs="黑体"/>
                <w:szCs w:val="21"/>
                <w:lang w:eastAsia="zh-CN"/>
              </w:rPr>
            </w:pPr>
            <w:r>
              <w:rPr>
                <w:rFonts w:hint="eastAsia" w:ascii="黑体" w:hAnsi="黑体" w:eastAsia="黑体" w:cs="黑体"/>
                <w:szCs w:val="21"/>
              </w:rPr>
              <w:t>公安</w:t>
            </w:r>
            <w:r>
              <w:rPr>
                <w:rFonts w:hint="eastAsia" w:ascii="黑体" w:hAnsi="黑体" w:eastAsia="黑体" w:cs="黑体"/>
                <w:szCs w:val="21"/>
                <w:lang w:eastAsia="zh-CN"/>
              </w:rPr>
              <w:t>分局</w:t>
            </w:r>
          </w:p>
        </w:tc>
        <w:tc>
          <w:tcPr>
            <w:tcW w:w="840" w:type="dxa"/>
            <w:vAlign w:val="center"/>
          </w:tcPr>
          <w:p>
            <w:pPr>
              <w:overflowPunct w:val="0"/>
              <w:autoSpaceDE w:val="0"/>
              <w:autoSpaceDN w:val="0"/>
              <w:adjustRightInd w:val="0"/>
              <w:snapToGrid w:val="0"/>
              <w:spacing w:line="300" w:lineRule="exact"/>
              <w:jc w:val="center"/>
              <w:rPr>
                <w:rFonts w:hint="eastAsia" w:ascii="黑体" w:hAnsi="黑体" w:eastAsia="黑体" w:cs="黑体"/>
                <w:szCs w:val="21"/>
                <w:lang w:eastAsia="zh-CN"/>
              </w:rPr>
            </w:pPr>
            <w:r>
              <w:rPr>
                <w:rFonts w:hint="eastAsia" w:ascii="黑体" w:hAnsi="黑体" w:eastAsia="黑体" w:cs="黑体"/>
                <w:szCs w:val="21"/>
              </w:rPr>
              <w:t>交警</w:t>
            </w:r>
            <w:r>
              <w:rPr>
                <w:rFonts w:hint="eastAsia" w:ascii="黑体" w:hAnsi="黑体" w:eastAsia="黑体" w:cs="黑体"/>
                <w:szCs w:val="21"/>
                <w:lang w:eastAsia="zh-CN"/>
              </w:rPr>
              <w:t>一、二大队</w:t>
            </w:r>
          </w:p>
        </w:tc>
        <w:tc>
          <w:tcPr>
            <w:tcW w:w="1380" w:type="dxa"/>
            <w:vAlign w:val="center"/>
          </w:tcPr>
          <w:p>
            <w:pPr>
              <w:overflowPunct w:val="0"/>
              <w:autoSpaceDE w:val="0"/>
              <w:autoSpaceDN w:val="0"/>
              <w:adjustRightInd w:val="0"/>
              <w:snapToGrid w:val="0"/>
              <w:spacing w:line="300" w:lineRule="exact"/>
              <w:jc w:val="center"/>
              <w:rPr>
                <w:rFonts w:hint="eastAsia" w:ascii="黑体" w:hAnsi="黑体" w:eastAsia="黑体" w:cs="黑体"/>
                <w:szCs w:val="21"/>
              </w:rPr>
            </w:pPr>
            <w:r>
              <w:rPr>
                <w:rFonts w:hint="eastAsia" w:ascii="黑体" w:hAnsi="黑体" w:eastAsia="黑体" w:cs="黑体"/>
                <w:szCs w:val="21"/>
              </w:rPr>
              <w:t>市场监管局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建设路社区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洪州大道东段</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滨江路北段</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建设路、渠江北路</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吉安街、教场街、兴隆街、龙腾路</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城北</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环城北路二段</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环城北路三段</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星辰路、昆仑街、希望街、民康街</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洗脚溪社区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洪洲大道西段</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建华路</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天星巷、建南路、翠福街、建新街、龙飞路、龙腾路</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北街</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人民路</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北街</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建南路、北仓路、城墙街、翠福街、建华路、翠华街</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湖滨路社区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洪州大道东段</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洪州大道西段</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建华路、环城北路三段、建设路、 北辰大道</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建新街、幸福街、五星街、红星街、政通巷、兴盛巷、辰湖路、恒荣街、希望街</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岔路</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洪州大道东段</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民乐街、钟子路、福寿街、民福街、花园路、广花路</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万金山社区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洪州大道东段、滨江路北段</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渠江北路、环城北路一段、环城北路二段、北辰大道</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兴隆街、吉安街、市场街、万丰街、恒荣街、民生街</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渠江北路社区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滨江路北段</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渠江北路、</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建设路</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渠滨街、万丰街</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新南门社区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龙头街</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正街、新南街、安平巷、华宇街、正宇街、新平街</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厚街</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厚街</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云顶巷、考棚巷、北仓路、柑子园街</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11</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翠屏路社区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人民路</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北仓路、云顶巷、翠屏路</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12</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果丰</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洪洲大道西段</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环城北路三段</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五星街、建丰街、翠福街、建南路</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13</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水塘堡社区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人民路</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厚街、龙头街、水塘堡街</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正街、大东街、小东街、三圣街、学街</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14</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柑子园社区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广门路</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龙头街</w:t>
            </w: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文庙街、新南街</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文凤街、 柑子园街</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15</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内塔</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凤凰大道</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皂角路、凌云东路、内塔路、学府路、通江一路、通江二路、小平大道、通江三路、通江四路</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497"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16</w:t>
            </w:r>
          </w:p>
        </w:tc>
        <w:tc>
          <w:tcPr>
            <w:tcW w:w="1018"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官盛</w:t>
            </w:r>
          </w:p>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社区</w:t>
            </w:r>
          </w:p>
        </w:tc>
        <w:tc>
          <w:tcPr>
            <w:tcW w:w="19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凤凰大道</w:t>
            </w:r>
          </w:p>
        </w:tc>
        <w:tc>
          <w:tcPr>
            <w:tcW w:w="223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2796"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栀子路、学府路、通江三路、通江四路、外塔路、滨江东路</w:t>
            </w:r>
          </w:p>
        </w:tc>
        <w:tc>
          <w:tcPr>
            <w:tcW w:w="1452"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90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4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64"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84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c>
          <w:tcPr>
            <w:tcW w:w="1380" w:type="dxa"/>
            <w:vAlign w:val="center"/>
          </w:tcPr>
          <w:p>
            <w:pPr>
              <w:overflowPunct w:val="0"/>
              <w:autoSpaceDE w:val="0"/>
              <w:autoSpaceDN w:val="0"/>
              <w:adjustRightInd w:val="0"/>
              <w:snapToGrid w:val="0"/>
              <w:spacing w:line="240" w:lineRule="exact"/>
              <w:jc w:val="center"/>
              <w:rPr>
                <w:rFonts w:hint="eastAsia" w:ascii="仿宋_GB2312" w:hAnsi="仿宋_GB2312" w:eastAsia="仿宋_GB2312" w:cs="仿宋_GB2312"/>
                <w:szCs w:val="21"/>
              </w:rPr>
            </w:pPr>
          </w:p>
        </w:tc>
      </w:tr>
    </w:tbl>
    <w:p>
      <w:pPr>
        <w:overflowPunct w:val="0"/>
        <w:autoSpaceDE w:val="0"/>
        <w:autoSpaceDN w:val="0"/>
        <w:adjustRightInd w:val="0"/>
        <w:snapToGrid w:val="0"/>
        <w:spacing w:line="59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备注：具体人员名单以各部门向城管办上报名单为准。</w:t>
      </w:r>
    </w:p>
    <w:p>
      <w:pPr>
        <w:overflowPunct w:val="0"/>
        <w:autoSpaceDE w:val="0"/>
        <w:autoSpaceDN w:val="0"/>
        <w:adjustRightInd w:val="0"/>
        <w:snapToGrid w:val="0"/>
        <w:spacing w:line="590" w:lineRule="exact"/>
        <w:rPr>
          <w:rFonts w:ascii="仿宋_GB2312" w:eastAsia="仿宋_GB2312"/>
          <w:sz w:val="24"/>
          <w:szCs w:val="24"/>
        </w:rPr>
      </w:pPr>
    </w:p>
    <w:p>
      <w:pPr>
        <w:overflowPunct w:val="0"/>
        <w:autoSpaceDE w:val="0"/>
        <w:autoSpaceDN w:val="0"/>
        <w:adjustRightInd w:val="0"/>
        <w:snapToGrid w:val="0"/>
        <w:spacing w:line="590" w:lineRule="exact"/>
        <w:textAlignment w:val="baseline"/>
        <w:rPr>
          <w:rFonts w:ascii="方正黑体_GBK" w:hAnsi="方正黑体_GBK" w:eastAsia="方正黑体_GBK" w:cs="方正黑体_GBK"/>
          <w:bCs/>
          <w:sz w:val="32"/>
          <w:szCs w:val="32"/>
        </w:rPr>
      </w:pPr>
      <w:r>
        <w:rPr>
          <w:rFonts w:hint="eastAsia" w:ascii="黑体" w:hAnsi="黑体" w:eastAsia="黑体" w:cs="黑体"/>
          <w:bCs/>
          <w:sz w:val="32"/>
          <w:szCs w:val="32"/>
        </w:rPr>
        <w:t xml:space="preserve">附件2  </w:t>
      </w:r>
      <w:r>
        <w:rPr>
          <w:rFonts w:hint="eastAsia" w:ascii="方正黑体_GBK" w:hAnsi="方正黑体_GBK" w:eastAsia="方正黑体_GBK" w:cs="方正黑体_GBK"/>
          <w:bCs/>
          <w:sz w:val="32"/>
          <w:szCs w:val="32"/>
        </w:rPr>
        <w:t xml:space="preserve">              </w:t>
      </w:r>
    </w:p>
    <w:p/>
    <w:p>
      <w:pPr>
        <w:overflowPunct w:val="0"/>
        <w:autoSpaceDE w:val="0"/>
        <w:autoSpaceDN w:val="0"/>
        <w:adjustRightInd w:val="0"/>
        <w:snapToGrid w:val="0"/>
        <w:spacing w:line="560" w:lineRule="exact"/>
        <w:jc w:val="center"/>
        <w:rPr>
          <w:rFonts w:ascii="仿宋_GB2312" w:eastAsia="仿宋_GB2312"/>
          <w:sz w:val="32"/>
          <w:szCs w:val="32"/>
        </w:rPr>
      </w:pPr>
      <w:r>
        <w:rPr>
          <w:rFonts w:hint="eastAsia" w:ascii="方正小标宋简体" w:eastAsia="方正小标宋简体"/>
          <w:sz w:val="44"/>
          <w:szCs w:val="44"/>
        </w:rPr>
        <w:t>广安市广安区靓丽街管理标准</w:t>
      </w:r>
    </w:p>
    <w:p>
      <w:pPr>
        <w:overflowPunct w:val="0"/>
        <w:autoSpaceDE w:val="0"/>
        <w:autoSpaceDN w:val="0"/>
        <w:adjustRightInd w:val="0"/>
        <w:snapToGrid w:val="0"/>
        <w:spacing w:line="560" w:lineRule="exact"/>
        <w:jc w:val="center"/>
        <w:rPr>
          <w:rFonts w:hint="eastAsia" w:ascii="楷体_GB2312" w:hAnsi="楷体_GB2312" w:eastAsia="楷体_GB2312" w:cs="楷体_GB2312"/>
          <w:b/>
          <w:bCs w:val="0"/>
          <w:sz w:val="24"/>
        </w:rPr>
      </w:pPr>
      <w:r>
        <w:rPr>
          <w:rFonts w:hint="eastAsia" w:ascii="楷体_GB2312" w:hAnsi="楷体_GB2312" w:eastAsia="楷体_GB2312" w:cs="楷体_GB2312"/>
          <w:b/>
          <w:bCs w:val="0"/>
          <w:sz w:val="24"/>
        </w:rPr>
        <w:t>（共4条：洪洲大道、滨江路、凤凰大道、北街）</w:t>
      </w:r>
    </w:p>
    <w:p>
      <w:pPr>
        <w:overflowPunct w:val="0"/>
        <w:autoSpaceDE w:val="0"/>
        <w:autoSpaceDN w:val="0"/>
        <w:adjustRightInd w:val="0"/>
        <w:snapToGrid w:val="0"/>
        <w:spacing w:line="560" w:lineRule="exact"/>
        <w:jc w:val="center"/>
        <w:rPr>
          <w:rFonts w:ascii="仿宋_GB2312" w:hAnsi="宋体" w:eastAsia="仿宋_GB2312" w:cs="宋体"/>
          <w:b/>
          <w:sz w:val="24"/>
        </w:rPr>
      </w:pPr>
    </w:p>
    <w:tbl>
      <w:tblPr>
        <w:tblStyle w:val="5"/>
        <w:tblW w:w="15035" w:type="dxa"/>
        <w:jc w:val="center"/>
        <w:tblLayout w:type="fixed"/>
        <w:tblCellMar>
          <w:top w:w="0" w:type="dxa"/>
          <w:left w:w="108" w:type="dxa"/>
          <w:bottom w:w="0" w:type="dxa"/>
          <w:right w:w="108" w:type="dxa"/>
        </w:tblCellMar>
      </w:tblPr>
      <w:tblGrid>
        <w:gridCol w:w="459"/>
        <w:gridCol w:w="1076"/>
        <w:gridCol w:w="13500"/>
      </w:tblGrid>
      <w:tr>
        <w:tblPrEx>
          <w:tblCellMar>
            <w:top w:w="0" w:type="dxa"/>
            <w:left w:w="108" w:type="dxa"/>
            <w:bottom w:w="0" w:type="dxa"/>
            <w:right w:w="108" w:type="dxa"/>
          </w:tblCellMar>
        </w:tblPrEx>
        <w:trPr>
          <w:trHeight w:val="315"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黑体" w:hAnsi="黑体" w:eastAsia="黑体" w:cs="黑体"/>
                <w:sz w:val="20"/>
              </w:rPr>
            </w:pPr>
            <w:r>
              <w:rPr>
                <w:rFonts w:hint="eastAsia" w:ascii="黑体" w:hAnsi="黑体" w:eastAsia="黑体" w:cs="黑体"/>
                <w:sz w:val="20"/>
              </w:rPr>
              <w:t>序号</w:t>
            </w:r>
          </w:p>
        </w:tc>
        <w:tc>
          <w:tcPr>
            <w:tcW w:w="1076" w:type="dxa"/>
            <w:tcBorders>
              <w:top w:val="single" w:color="auto" w:sz="4" w:space="0"/>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黑体" w:hAnsi="黑体" w:eastAsia="黑体" w:cs="黑体"/>
                <w:sz w:val="20"/>
              </w:rPr>
            </w:pPr>
            <w:r>
              <w:rPr>
                <w:rFonts w:hint="eastAsia" w:ascii="黑体" w:hAnsi="黑体" w:eastAsia="黑体" w:cs="黑体"/>
                <w:sz w:val="20"/>
              </w:rPr>
              <w:t>项目</w:t>
            </w:r>
          </w:p>
        </w:tc>
        <w:tc>
          <w:tcPr>
            <w:tcW w:w="13500" w:type="dxa"/>
            <w:tcBorders>
              <w:top w:val="single" w:color="auto" w:sz="4" w:space="0"/>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黑体" w:hAnsi="黑体" w:eastAsia="黑体" w:cs="黑体"/>
                <w:sz w:val="20"/>
              </w:rPr>
            </w:pPr>
            <w:r>
              <w:rPr>
                <w:rFonts w:hint="eastAsia" w:ascii="黑体" w:hAnsi="黑体" w:eastAsia="黑体" w:cs="黑体"/>
                <w:sz w:val="20"/>
              </w:rPr>
              <w:t>管理内容及标准</w:t>
            </w:r>
          </w:p>
        </w:tc>
      </w:tr>
      <w:tr>
        <w:tblPrEx>
          <w:tblCellMar>
            <w:top w:w="0" w:type="dxa"/>
            <w:left w:w="108" w:type="dxa"/>
            <w:bottom w:w="0" w:type="dxa"/>
            <w:right w:w="108" w:type="dxa"/>
          </w:tblCellMar>
        </w:tblPrEx>
        <w:trPr>
          <w:trHeight w:val="517" w:hRule="atLeast"/>
          <w:jc w:val="center"/>
        </w:trPr>
        <w:tc>
          <w:tcPr>
            <w:tcW w:w="459" w:type="dxa"/>
            <w:tcBorders>
              <w:top w:val="nil"/>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1</w:t>
            </w:r>
          </w:p>
        </w:tc>
        <w:tc>
          <w:tcPr>
            <w:tcW w:w="1076"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建筑立面整洁</w:t>
            </w:r>
          </w:p>
        </w:tc>
        <w:tc>
          <w:tcPr>
            <w:tcW w:w="1350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沿街建（构）筑物外立面保持整洁完好，不得擅自悬挂、书写、张贴或设置商业性广告标语或粘贴物；建筑物立面禁止设置外置式防护栏，管线、遮阳棚、油烟排放管道、空调外机等附着物规范设置，无掉漆或瓷砖脱落现象，无乱贴乱画、乱挂乱晒、乱拉乱接、乱搭乱建行为。</w:t>
            </w:r>
          </w:p>
        </w:tc>
      </w:tr>
      <w:tr>
        <w:tblPrEx>
          <w:tblCellMar>
            <w:top w:w="0" w:type="dxa"/>
            <w:left w:w="108" w:type="dxa"/>
            <w:bottom w:w="0" w:type="dxa"/>
            <w:right w:w="108" w:type="dxa"/>
          </w:tblCellMar>
        </w:tblPrEx>
        <w:trPr>
          <w:trHeight w:val="553" w:hRule="atLeast"/>
          <w:jc w:val="center"/>
        </w:trPr>
        <w:tc>
          <w:tcPr>
            <w:tcW w:w="459" w:type="dxa"/>
            <w:tcBorders>
              <w:top w:val="nil"/>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2</w:t>
            </w:r>
          </w:p>
        </w:tc>
        <w:tc>
          <w:tcPr>
            <w:tcW w:w="1076"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广告店招规范</w:t>
            </w:r>
          </w:p>
        </w:tc>
        <w:tc>
          <w:tcPr>
            <w:tcW w:w="1350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店招做到“三齐”（“上沿、下沿、版面”齐），整洁美观完好，文字使用规范，与周边环境协调，无一店多招、落地店招、刀片招牌现象。户外广告设置符合城市容貌标准和技术规范，与街景风貌协调，整洁完好，运行安全，使用期满后应及时拆除或清理。严禁设置商业道旗广告和喷绘广告。</w:t>
            </w:r>
          </w:p>
        </w:tc>
      </w:tr>
      <w:tr>
        <w:tblPrEx>
          <w:tblCellMar>
            <w:top w:w="0" w:type="dxa"/>
            <w:left w:w="108" w:type="dxa"/>
            <w:bottom w:w="0" w:type="dxa"/>
            <w:right w:w="108" w:type="dxa"/>
          </w:tblCellMar>
        </w:tblPrEx>
        <w:trPr>
          <w:trHeight w:val="561" w:hRule="atLeast"/>
          <w:jc w:val="center"/>
        </w:trPr>
        <w:tc>
          <w:tcPr>
            <w:tcW w:w="459" w:type="dxa"/>
            <w:tcBorders>
              <w:top w:val="nil"/>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3</w:t>
            </w:r>
          </w:p>
        </w:tc>
        <w:tc>
          <w:tcPr>
            <w:tcW w:w="1076"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景观亮化美化</w:t>
            </w:r>
          </w:p>
        </w:tc>
        <w:tc>
          <w:tcPr>
            <w:tcW w:w="1350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道路两侧建筑物、构筑物、公共设施、广告设施、店招招牌等亮化设施和路灯应按照城市亮化规划要求和街景风貌特色设置，装灯率100%，设备完好率、亮化率100%。</w:t>
            </w:r>
          </w:p>
        </w:tc>
      </w:tr>
      <w:tr>
        <w:tblPrEx>
          <w:tblCellMar>
            <w:top w:w="0" w:type="dxa"/>
            <w:left w:w="108" w:type="dxa"/>
            <w:bottom w:w="0" w:type="dxa"/>
            <w:right w:w="108" w:type="dxa"/>
          </w:tblCellMar>
        </w:tblPrEx>
        <w:trPr>
          <w:trHeight w:val="839" w:hRule="atLeast"/>
          <w:jc w:val="center"/>
        </w:trPr>
        <w:tc>
          <w:tcPr>
            <w:tcW w:w="459" w:type="dxa"/>
            <w:tcBorders>
              <w:top w:val="nil"/>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4</w:t>
            </w:r>
          </w:p>
        </w:tc>
        <w:tc>
          <w:tcPr>
            <w:tcW w:w="1076"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公共设施完好</w:t>
            </w:r>
          </w:p>
        </w:tc>
        <w:tc>
          <w:tcPr>
            <w:tcW w:w="1350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道路设施完好，井盖无残缺；公交站台、路名牌、门牌、报刊亭、电力通信箱体等公共设施定期清洗维护，保持整洁完好。道路交通标识、标志、信号灯安全规范，隔离栏（墩）保持整洁，无明显污物、破损和残缺。电信、移动、联通、有线电视、供电等单位在空中架设的管线，以及裸露消防栓美化、隐蔽化处理，空中无“蜘蛛网”现象；及时捆扎外接、下垂、凌乱线缆，修护断裂的线缆，清除、拆除私拉乱接和废弃线缆，扶正、加固在用的线杆。</w:t>
            </w:r>
          </w:p>
        </w:tc>
      </w:tr>
      <w:tr>
        <w:tblPrEx>
          <w:tblCellMar>
            <w:top w:w="0" w:type="dxa"/>
            <w:left w:w="108" w:type="dxa"/>
            <w:bottom w:w="0" w:type="dxa"/>
            <w:right w:w="108" w:type="dxa"/>
          </w:tblCellMar>
        </w:tblPrEx>
        <w:trPr>
          <w:trHeight w:val="654" w:hRule="atLeast"/>
          <w:jc w:val="center"/>
        </w:trPr>
        <w:tc>
          <w:tcPr>
            <w:tcW w:w="459" w:type="dxa"/>
            <w:tcBorders>
              <w:top w:val="nil"/>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5</w:t>
            </w:r>
          </w:p>
        </w:tc>
        <w:tc>
          <w:tcPr>
            <w:tcW w:w="1076"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环境卫生干净</w:t>
            </w:r>
          </w:p>
        </w:tc>
        <w:tc>
          <w:tcPr>
            <w:tcW w:w="1350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道路清扫保洁采用机械化作业为主，人工作业为辅的方式，垃圾分类投放，做到日产日清，达到“六净六无”，即路面净、人行道净、路牙净、收水口净、树根净、墙根净，无瓜果皮核、无杂草树叶、无积存垃圾、无纸屑</w:t>
            </w:r>
            <w:r>
              <w:rPr>
                <w:rFonts w:hint="eastAsia" w:ascii="仿宋_GB2312" w:hAnsi="仿宋_GB2312" w:eastAsia="仿宋_GB2312" w:cs="仿宋_GB2312"/>
                <w:sz w:val="20"/>
                <w:highlight w:val="none"/>
              </w:rPr>
              <w:t>胶袋</w:t>
            </w:r>
            <w:r>
              <w:rPr>
                <w:rFonts w:hint="eastAsia" w:ascii="仿宋_GB2312" w:hAnsi="仿宋_GB2312" w:eastAsia="仿宋_GB2312" w:cs="仿宋_GB2312"/>
                <w:sz w:val="20"/>
              </w:rPr>
              <w:t>、无积水污迹、无人畜粪便。公厕、垃圾中转站、果皮箱等环卫设施齐全、布局合理、功能齐全、设施完好，保持整洁美观，无</w:t>
            </w:r>
            <w:r>
              <w:rPr>
                <w:rFonts w:hint="eastAsia" w:ascii="仿宋_GB2312" w:hAnsi="仿宋_GB2312" w:eastAsia="仿宋_GB2312" w:cs="仿宋_GB2312"/>
                <w:sz w:val="20"/>
                <w:highlight w:val="none"/>
              </w:rPr>
              <w:t>乱吐</w:t>
            </w:r>
            <w:r>
              <w:rPr>
                <w:rFonts w:hint="eastAsia" w:ascii="仿宋_GB2312" w:hAnsi="仿宋_GB2312" w:eastAsia="仿宋_GB2312" w:cs="仿宋_GB2312"/>
                <w:sz w:val="20"/>
              </w:rPr>
              <w:t>乱屙、乱倾乱倒现象。</w:t>
            </w:r>
          </w:p>
        </w:tc>
      </w:tr>
      <w:tr>
        <w:tblPrEx>
          <w:tblCellMar>
            <w:top w:w="0" w:type="dxa"/>
            <w:left w:w="108" w:type="dxa"/>
            <w:bottom w:w="0" w:type="dxa"/>
            <w:right w:w="108" w:type="dxa"/>
          </w:tblCellMar>
        </w:tblPrEx>
        <w:trPr>
          <w:trHeight w:val="563" w:hRule="atLeast"/>
          <w:jc w:val="center"/>
        </w:trPr>
        <w:tc>
          <w:tcPr>
            <w:tcW w:w="459" w:type="dxa"/>
            <w:tcBorders>
              <w:top w:val="nil"/>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6</w:t>
            </w:r>
          </w:p>
        </w:tc>
        <w:tc>
          <w:tcPr>
            <w:tcW w:w="1076"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市容秩序良好</w:t>
            </w:r>
          </w:p>
        </w:tc>
        <w:tc>
          <w:tcPr>
            <w:tcW w:w="1350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门前五包”责任签订100%，沿街店铺经营行为规范，无乱摆乱设、无乱堆乱码、无乱贴乱画、无乱挂乱晒等现象；沿街无随地吐痰、无乱丢烟蒂、无乱扔垃圾、无车内临街抛物，无沿街叫卖、无流动摊点、无流动宣传。禁止设置洗车场、修车场，车辆停放有序，无乱停乱放。</w:t>
            </w:r>
          </w:p>
        </w:tc>
      </w:tr>
      <w:tr>
        <w:tblPrEx>
          <w:tblCellMar>
            <w:top w:w="0" w:type="dxa"/>
            <w:left w:w="108" w:type="dxa"/>
            <w:bottom w:w="0" w:type="dxa"/>
            <w:right w:w="108" w:type="dxa"/>
          </w:tblCellMar>
        </w:tblPrEx>
        <w:trPr>
          <w:trHeight w:val="806" w:hRule="atLeast"/>
          <w:jc w:val="center"/>
        </w:trPr>
        <w:tc>
          <w:tcPr>
            <w:tcW w:w="459" w:type="dxa"/>
            <w:tcBorders>
              <w:top w:val="nil"/>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7</w:t>
            </w:r>
          </w:p>
        </w:tc>
        <w:tc>
          <w:tcPr>
            <w:tcW w:w="1076"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生态环境改善</w:t>
            </w:r>
          </w:p>
        </w:tc>
        <w:tc>
          <w:tcPr>
            <w:tcW w:w="1350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深入开展环境保护“三大保卫战”，规范沿街餐饮油烟设施设置，全面取缔露天烧烤，加强生活</w:t>
            </w:r>
            <w:r>
              <w:rPr>
                <w:rFonts w:hint="eastAsia" w:ascii="仿宋_GB2312" w:hAnsi="仿宋_GB2312" w:eastAsia="仿宋_GB2312" w:cs="仿宋_GB2312"/>
                <w:sz w:val="20"/>
                <w:highlight w:val="none"/>
              </w:rPr>
              <w:t>噪音</w:t>
            </w:r>
            <w:r>
              <w:rPr>
                <w:rFonts w:hint="eastAsia" w:ascii="仿宋_GB2312" w:hAnsi="仿宋_GB2312" w:eastAsia="仿宋_GB2312" w:cs="仿宋_GB2312"/>
                <w:sz w:val="20"/>
              </w:rPr>
              <w:t>管控；加强雨污管网维修，严禁擅自铺设雨污管线，无乱倾乱倒现象；加强建筑工地文明施工管理，实施全封闭围栏施工，围挡保持完好整洁卫生，按标准设置出口，规范车辆进出行为，严格建筑渣土、建材运输管理，不得出现“抛冒滴漏”。</w:t>
            </w:r>
          </w:p>
        </w:tc>
      </w:tr>
      <w:tr>
        <w:tblPrEx>
          <w:tblCellMar>
            <w:top w:w="0" w:type="dxa"/>
            <w:left w:w="108" w:type="dxa"/>
            <w:bottom w:w="0" w:type="dxa"/>
            <w:right w:w="108" w:type="dxa"/>
          </w:tblCellMar>
        </w:tblPrEx>
        <w:trPr>
          <w:trHeight w:val="675" w:hRule="atLeast"/>
          <w:jc w:val="center"/>
        </w:trPr>
        <w:tc>
          <w:tcPr>
            <w:tcW w:w="459" w:type="dxa"/>
            <w:tcBorders>
              <w:top w:val="nil"/>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8</w:t>
            </w:r>
          </w:p>
        </w:tc>
        <w:tc>
          <w:tcPr>
            <w:tcW w:w="1076"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巡查管控到位</w:t>
            </w:r>
          </w:p>
        </w:tc>
        <w:tc>
          <w:tcPr>
            <w:tcW w:w="1350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街长制、网格化管理落实到位，实行“五定”责任，职责明确，公开街长和网格人员职责，公开监督举报电话，接受群众监督。严格管理，文明执法，程序合法；着装规范，用语文明，无不作为、乱作为现象，严禁发生肢体冲突等群体事件。</w:t>
            </w:r>
          </w:p>
        </w:tc>
      </w:tr>
      <w:tr>
        <w:tblPrEx>
          <w:tblCellMar>
            <w:top w:w="0" w:type="dxa"/>
            <w:left w:w="108" w:type="dxa"/>
            <w:bottom w:w="0" w:type="dxa"/>
            <w:right w:w="108" w:type="dxa"/>
          </w:tblCellMar>
        </w:tblPrEx>
        <w:trPr>
          <w:trHeight w:val="870" w:hRule="atLeast"/>
          <w:jc w:val="center"/>
        </w:trPr>
        <w:tc>
          <w:tcPr>
            <w:tcW w:w="459" w:type="dxa"/>
            <w:tcBorders>
              <w:top w:val="nil"/>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9</w:t>
            </w:r>
          </w:p>
        </w:tc>
        <w:tc>
          <w:tcPr>
            <w:tcW w:w="1076"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提升绿化水平</w:t>
            </w:r>
          </w:p>
        </w:tc>
        <w:tc>
          <w:tcPr>
            <w:tcW w:w="1350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培育绿化美化开花变色树种，处处有草有花。实施拆围增绿、拆墙透绿、缺株补绿、立体造绿行动，增大绿化面积，改善立面景观，花草、绿篱、花坛（池）、草坪等保持整洁、美观。绿化养护良好，绿化带卫生清洁，无裸土，种植土不超出路沿石、花坛（池），无空缺死株、无依托树木乱挂乱晒、乱拉乱接、乱踩乱踏。</w:t>
            </w:r>
          </w:p>
        </w:tc>
      </w:tr>
    </w:tbl>
    <w:p>
      <w:pPr>
        <w:overflowPunct w:val="0"/>
        <w:autoSpaceDE w:val="0"/>
        <w:autoSpaceDN w:val="0"/>
        <w:adjustRightInd w:val="0"/>
        <w:snapToGrid w:val="0"/>
        <w:spacing w:line="590" w:lineRule="exact"/>
        <w:textAlignment w:val="baseline"/>
        <w:rPr>
          <w:rFonts w:hint="eastAsia" w:ascii="黑体" w:hAnsi="黑体" w:eastAsia="黑体" w:cs="黑体"/>
          <w:bCs/>
          <w:sz w:val="32"/>
          <w:szCs w:val="32"/>
        </w:rPr>
      </w:pPr>
      <w:r>
        <w:rPr>
          <w:rFonts w:hint="eastAsia" w:ascii="黑体" w:hAnsi="黑体" w:eastAsia="黑体" w:cs="黑体"/>
          <w:bCs/>
          <w:sz w:val="32"/>
          <w:szCs w:val="32"/>
        </w:rPr>
        <w:t>附件3</w:t>
      </w:r>
    </w:p>
    <w:p>
      <w:pPr>
        <w:rPr>
          <w:rFonts w:hint="eastAsia"/>
        </w:rPr>
      </w:pPr>
    </w:p>
    <w:p>
      <w:pPr>
        <w:overflowPunct w:val="0"/>
        <w:autoSpaceDE w:val="0"/>
        <w:autoSpaceDN w:val="0"/>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广安市广安区示范街管理标准</w:t>
      </w:r>
    </w:p>
    <w:p>
      <w:pPr>
        <w:overflowPunct w:val="0"/>
        <w:autoSpaceDE w:val="0"/>
        <w:autoSpaceDN w:val="0"/>
        <w:adjustRightInd w:val="0"/>
        <w:snapToGrid w:val="0"/>
        <w:spacing w:line="5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（共5条：人民路、凌云东路、广门路、南新街、环城北路）</w:t>
      </w:r>
    </w:p>
    <w:p>
      <w:pPr>
        <w:overflowPunct w:val="0"/>
        <w:autoSpaceDE w:val="0"/>
        <w:autoSpaceDN w:val="0"/>
        <w:adjustRightInd w:val="0"/>
        <w:snapToGrid w:val="0"/>
        <w:spacing w:line="560" w:lineRule="exact"/>
        <w:jc w:val="center"/>
        <w:rPr>
          <w:rFonts w:hint="eastAsia" w:ascii="方正黑体_GBK" w:hAnsi="方正黑体_GBK" w:eastAsia="方正黑体_GBK" w:cs="方正黑体_GBK"/>
          <w:b/>
          <w:bCs/>
          <w:sz w:val="24"/>
          <w:szCs w:val="24"/>
        </w:rPr>
      </w:pPr>
    </w:p>
    <w:tbl>
      <w:tblPr>
        <w:tblStyle w:val="5"/>
        <w:tblW w:w="14990" w:type="dxa"/>
        <w:jc w:val="center"/>
        <w:tblLayout w:type="fixed"/>
        <w:tblCellMar>
          <w:top w:w="0" w:type="dxa"/>
          <w:left w:w="108" w:type="dxa"/>
          <w:bottom w:w="0" w:type="dxa"/>
          <w:right w:w="108" w:type="dxa"/>
        </w:tblCellMar>
      </w:tblPr>
      <w:tblGrid>
        <w:gridCol w:w="721"/>
        <w:gridCol w:w="1418"/>
        <w:gridCol w:w="12851"/>
      </w:tblGrid>
      <w:tr>
        <w:tblPrEx>
          <w:tblCellMar>
            <w:top w:w="0" w:type="dxa"/>
            <w:left w:w="108" w:type="dxa"/>
            <w:bottom w:w="0" w:type="dxa"/>
            <w:right w:w="108" w:type="dxa"/>
          </w:tblCellMar>
        </w:tblPrEx>
        <w:trPr>
          <w:trHeight w:val="585"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黑体" w:hAnsi="黑体" w:eastAsia="黑体" w:cs="黑体"/>
                <w:sz w:val="20"/>
              </w:rPr>
            </w:pPr>
            <w:r>
              <w:rPr>
                <w:rFonts w:hint="eastAsia" w:ascii="黑体" w:hAnsi="黑体" w:eastAsia="黑体" w:cs="黑体"/>
                <w:sz w:val="20"/>
              </w:rPr>
              <w:t>序号</w:t>
            </w:r>
          </w:p>
        </w:tc>
        <w:tc>
          <w:tcPr>
            <w:tcW w:w="1418" w:type="dxa"/>
            <w:tcBorders>
              <w:top w:val="single" w:color="auto" w:sz="4" w:space="0"/>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黑体" w:hAnsi="黑体" w:eastAsia="黑体" w:cs="黑体"/>
                <w:sz w:val="20"/>
              </w:rPr>
            </w:pPr>
            <w:r>
              <w:rPr>
                <w:rFonts w:hint="eastAsia" w:ascii="黑体" w:hAnsi="黑体" w:eastAsia="黑体" w:cs="黑体"/>
                <w:sz w:val="20"/>
              </w:rPr>
              <w:t>项目</w:t>
            </w:r>
          </w:p>
        </w:tc>
        <w:tc>
          <w:tcPr>
            <w:tcW w:w="12851" w:type="dxa"/>
            <w:tcBorders>
              <w:top w:val="single" w:color="auto" w:sz="4" w:space="0"/>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黑体" w:hAnsi="黑体" w:eastAsia="黑体" w:cs="黑体"/>
                <w:sz w:val="20"/>
              </w:rPr>
            </w:pPr>
            <w:r>
              <w:rPr>
                <w:rFonts w:hint="eastAsia" w:ascii="黑体" w:hAnsi="黑体" w:eastAsia="黑体" w:cs="黑体"/>
                <w:sz w:val="20"/>
              </w:rPr>
              <w:t>管理内容及标准</w:t>
            </w:r>
          </w:p>
        </w:tc>
      </w:tr>
      <w:tr>
        <w:tblPrEx>
          <w:tblCellMar>
            <w:top w:w="0" w:type="dxa"/>
            <w:left w:w="108" w:type="dxa"/>
            <w:bottom w:w="0" w:type="dxa"/>
            <w:right w:w="108" w:type="dxa"/>
          </w:tblCellMar>
        </w:tblPrEx>
        <w:trPr>
          <w:trHeight w:val="593" w:hRule="atLeast"/>
          <w:jc w:val="center"/>
        </w:trPr>
        <w:tc>
          <w:tcPr>
            <w:tcW w:w="721" w:type="dxa"/>
            <w:tcBorders>
              <w:top w:val="single" w:color="auto" w:sz="4" w:space="0"/>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1</w:t>
            </w:r>
          </w:p>
        </w:tc>
        <w:tc>
          <w:tcPr>
            <w:tcW w:w="1418" w:type="dxa"/>
            <w:tcBorders>
              <w:top w:val="single" w:color="auto" w:sz="4" w:space="0"/>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建筑立面整洁</w:t>
            </w:r>
          </w:p>
        </w:tc>
        <w:tc>
          <w:tcPr>
            <w:tcW w:w="12851" w:type="dxa"/>
            <w:tcBorders>
              <w:top w:val="single" w:color="auto" w:sz="4" w:space="0"/>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沿街建（构）筑物外立面应保持整洁完好，不得擅自悬挂、书写、张贴或设置商业性广告标语或粘贴物；建筑物立面防护栏、管线、油烟排放管道、遮阳棚、空调外机等附着物规范设置，无掉漆或瓷砖脱落现象，无乱挂乱晒、乱贴乱画、乱搭乱建行为。</w:t>
            </w:r>
          </w:p>
        </w:tc>
      </w:tr>
      <w:tr>
        <w:tblPrEx>
          <w:tblCellMar>
            <w:top w:w="0" w:type="dxa"/>
            <w:left w:w="108" w:type="dxa"/>
            <w:bottom w:w="0" w:type="dxa"/>
            <w:right w:w="108" w:type="dxa"/>
          </w:tblCellMar>
        </w:tblPrEx>
        <w:trPr>
          <w:trHeight w:val="842"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2</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广告店招规范</w:t>
            </w:r>
          </w:p>
        </w:tc>
        <w:tc>
          <w:tcPr>
            <w:tcW w:w="12851"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店招做到“三齐”（“上沿、下沿、版面”齐），整洁美观完好，文字使用规范，与周边环境协调，无一店多招、落地店招、刀片招牌现象。户外广告设置符合城市容貌标准和技术规范，与街景风貌相协调，整洁完好，运行安全，使用期满后应及时拆除或清理。张贴栏、阅报栏等公共信息栏保持整洁，陈旧</w:t>
            </w:r>
            <w:r>
              <w:rPr>
                <w:rFonts w:hint="eastAsia" w:ascii="仿宋_GB2312" w:hAnsi="仿宋_GB2312" w:eastAsia="仿宋_GB2312" w:cs="仿宋_GB2312"/>
                <w:sz w:val="20"/>
                <w:highlight w:val="none"/>
              </w:rPr>
              <w:t>破损的及时</w:t>
            </w:r>
            <w:r>
              <w:rPr>
                <w:rFonts w:hint="eastAsia" w:ascii="仿宋_GB2312" w:hAnsi="仿宋_GB2312" w:eastAsia="仿宋_GB2312" w:cs="仿宋_GB2312"/>
                <w:sz w:val="20"/>
              </w:rPr>
              <w:t>更换。</w:t>
            </w:r>
          </w:p>
        </w:tc>
      </w:tr>
      <w:tr>
        <w:tblPrEx>
          <w:tblCellMar>
            <w:top w:w="0" w:type="dxa"/>
            <w:left w:w="108" w:type="dxa"/>
            <w:bottom w:w="0" w:type="dxa"/>
            <w:right w:w="108" w:type="dxa"/>
          </w:tblCellMar>
        </w:tblPrEx>
        <w:trPr>
          <w:trHeight w:val="415"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3</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景观亮化美化</w:t>
            </w:r>
          </w:p>
        </w:tc>
        <w:tc>
          <w:tcPr>
            <w:tcW w:w="12851"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道路两侧建筑物、构建物、公共设施、广告设施、店招招牌等亮化设施和路灯应按照城市亮化规划要求和街景风貌特色设置，装灯率100%，设备完好率、亮化率99%。</w:t>
            </w:r>
          </w:p>
        </w:tc>
      </w:tr>
      <w:tr>
        <w:tblPrEx>
          <w:tblCellMar>
            <w:top w:w="0" w:type="dxa"/>
            <w:left w:w="108" w:type="dxa"/>
            <w:bottom w:w="0" w:type="dxa"/>
            <w:right w:w="108" w:type="dxa"/>
          </w:tblCellMar>
        </w:tblPrEx>
        <w:trPr>
          <w:trHeight w:val="1118"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4</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公共设施完好</w:t>
            </w:r>
          </w:p>
        </w:tc>
        <w:tc>
          <w:tcPr>
            <w:tcW w:w="12851"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道路设施完好，井盖无残缺；公交站台、路名牌、门牌、报刊亭、电力通信箱体等公共设施定期清洗维护，保持整洁完好。道路交通标识、标志、信号灯、安全规范，隔离栏（墩）保持整洁，无明显污物、破损和残缺。电信、移动、联通、有线电视、供电等单位在空中架设的管线，以及消防栓尽量入地，空中无“蜘蛛网”现象；及时捆扎外接、下垂、凌乱线缆，修护断裂的线缆，清除、拆除私拉乱接和废弃线缆，扶正、加固在用的线杆。绿化养护良好，绿化带卫生清洁，无裸土，种植土不得高于路沿石、花坛（池），无空缺死株、无依托树木乱挂乱晒、乱拉乱接、乱踩乱踏。</w:t>
            </w:r>
          </w:p>
        </w:tc>
      </w:tr>
      <w:tr>
        <w:tblPrEx>
          <w:tblCellMar>
            <w:top w:w="0" w:type="dxa"/>
            <w:left w:w="108" w:type="dxa"/>
            <w:bottom w:w="0" w:type="dxa"/>
            <w:right w:w="108" w:type="dxa"/>
          </w:tblCellMar>
        </w:tblPrEx>
        <w:trPr>
          <w:trHeight w:val="837"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5</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环境卫生干净</w:t>
            </w:r>
          </w:p>
        </w:tc>
        <w:tc>
          <w:tcPr>
            <w:tcW w:w="12851"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道路清扫保洁采用机械化作业为主、人工作业为辅的方式，做到日产日清，达到“六净六无”，即路面净、人行道净、路牙净、收水口净、树根净、墙根净，无瓜果皮核、无杂草树叶、无积存垃圾、无纸屑</w:t>
            </w:r>
            <w:r>
              <w:rPr>
                <w:rFonts w:hint="eastAsia" w:ascii="仿宋_GB2312" w:hAnsi="仿宋_GB2312" w:eastAsia="仿宋_GB2312" w:cs="仿宋_GB2312"/>
                <w:sz w:val="20"/>
                <w:highlight w:val="none"/>
              </w:rPr>
              <w:t>胶袋</w:t>
            </w:r>
            <w:r>
              <w:rPr>
                <w:rFonts w:hint="eastAsia" w:ascii="仿宋_GB2312" w:hAnsi="仿宋_GB2312" w:eastAsia="仿宋_GB2312" w:cs="仿宋_GB2312"/>
                <w:sz w:val="20"/>
              </w:rPr>
              <w:t>、无积水污迹、无人畜粪便。公厕、垃圾中转站、果皮箱等环卫设施齐全、布局合理、功能齐全、设施完好，保持整洁美观，无</w:t>
            </w:r>
            <w:r>
              <w:rPr>
                <w:rFonts w:hint="eastAsia" w:ascii="仿宋_GB2312" w:hAnsi="仿宋_GB2312" w:eastAsia="仿宋_GB2312" w:cs="仿宋_GB2312"/>
                <w:sz w:val="20"/>
                <w:highlight w:val="none"/>
              </w:rPr>
              <w:t>乱吐</w:t>
            </w:r>
            <w:r>
              <w:rPr>
                <w:rFonts w:hint="eastAsia" w:ascii="仿宋_GB2312" w:hAnsi="仿宋_GB2312" w:eastAsia="仿宋_GB2312" w:cs="仿宋_GB2312"/>
                <w:sz w:val="20"/>
              </w:rPr>
              <w:t>乱屙、乱倾乱倒现象。</w:t>
            </w:r>
          </w:p>
        </w:tc>
      </w:tr>
      <w:tr>
        <w:tblPrEx>
          <w:tblCellMar>
            <w:top w:w="0" w:type="dxa"/>
            <w:left w:w="108" w:type="dxa"/>
            <w:bottom w:w="0" w:type="dxa"/>
            <w:right w:w="108" w:type="dxa"/>
          </w:tblCellMar>
        </w:tblPrEx>
        <w:trPr>
          <w:trHeight w:val="607"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6</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市容秩序良好</w:t>
            </w:r>
          </w:p>
        </w:tc>
        <w:tc>
          <w:tcPr>
            <w:tcW w:w="12851"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门前五包”责任签订100%，沿街店铺经营行为规范，无乱摆乱设、无乱堆乱码、无乱贴乱画、无乱挂乱晒、乱挖乱掘等现象；沿街无随地吐痰、无乱丢烟蒂、无乱扔垃圾、无车内临街抛物，无沿街叫卖、无流动摊点、无流动宣传；无车辆乱停乱放。</w:t>
            </w:r>
          </w:p>
        </w:tc>
      </w:tr>
      <w:tr>
        <w:tblPrEx>
          <w:tblCellMar>
            <w:top w:w="0" w:type="dxa"/>
            <w:left w:w="108" w:type="dxa"/>
            <w:bottom w:w="0" w:type="dxa"/>
            <w:right w:w="108" w:type="dxa"/>
          </w:tblCellMar>
        </w:tblPrEx>
        <w:trPr>
          <w:trHeight w:val="792"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生态环境改善</w:t>
            </w:r>
          </w:p>
        </w:tc>
        <w:tc>
          <w:tcPr>
            <w:tcW w:w="12851"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深入开展环境保护“三大保卫战”，规范沿街餐饮油烟设施设置，全面取缔露天烧烤，禁止露天焚烧行为，加强生活</w:t>
            </w:r>
            <w:r>
              <w:rPr>
                <w:rFonts w:hint="eastAsia" w:ascii="仿宋_GB2312" w:hAnsi="仿宋_GB2312" w:eastAsia="仿宋_GB2312" w:cs="仿宋_GB2312"/>
                <w:sz w:val="20"/>
                <w:szCs w:val="20"/>
                <w:highlight w:val="none"/>
              </w:rPr>
              <w:t>噪音</w:t>
            </w:r>
            <w:r>
              <w:rPr>
                <w:rFonts w:hint="eastAsia" w:ascii="仿宋_GB2312" w:hAnsi="仿宋_GB2312" w:eastAsia="仿宋_GB2312" w:cs="仿宋_GB2312"/>
                <w:sz w:val="20"/>
                <w:szCs w:val="20"/>
              </w:rPr>
              <w:t>管控；加强雨污管网维修，严禁擅自铺设雨污管线，无乱倾乱倒现象；加强建筑工地文明施工管理，实施全封闭围栏施工，围挡保持完好整洁卫生，按标准设置进出口，规范车辆进出行为，严格建筑渣土、建材运输管理，不得出现“抛冒滴漏”。</w:t>
            </w:r>
          </w:p>
        </w:tc>
      </w:tr>
      <w:tr>
        <w:tblPrEx>
          <w:tblCellMar>
            <w:top w:w="0" w:type="dxa"/>
            <w:left w:w="108" w:type="dxa"/>
            <w:bottom w:w="0" w:type="dxa"/>
            <w:right w:w="108" w:type="dxa"/>
          </w:tblCellMar>
        </w:tblPrEx>
        <w:trPr>
          <w:trHeight w:val="599" w:hRule="atLeast"/>
          <w:jc w:val="center"/>
        </w:trPr>
        <w:tc>
          <w:tcPr>
            <w:tcW w:w="721" w:type="dxa"/>
            <w:tcBorders>
              <w:top w:val="nil"/>
              <w:left w:val="single" w:color="auto" w:sz="8" w:space="0"/>
              <w:bottom w:val="single" w:color="auto" w:sz="8"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rPr>
            </w:pPr>
            <w:r>
              <w:rPr>
                <w:rFonts w:hint="eastAsia" w:ascii="仿宋_GB2312" w:hAnsi="仿宋_GB2312" w:eastAsia="仿宋_GB2312" w:cs="仿宋_GB2312"/>
              </w:rPr>
              <w:t>8</w:t>
            </w:r>
          </w:p>
        </w:tc>
        <w:tc>
          <w:tcPr>
            <w:tcW w:w="1418" w:type="dxa"/>
            <w:tcBorders>
              <w:top w:val="nil"/>
              <w:left w:val="nil"/>
              <w:bottom w:val="single" w:color="auto" w:sz="8"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巡查管控到位</w:t>
            </w:r>
          </w:p>
        </w:tc>
        <w:tc>
          <w:tcPr>
            <w:tcW w:w="12851" w:type="dxa"/>
            <w:tcBorders>
              <w:top w:val="nil"/>
              <w:left w:val="nil"/>
              <w:bottom w:val="single" w:color="auto" w:sz="8"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街长制、网格化管理落实到位，实行“五定”责任，职责明确，公开街长和网格人员及职责，公开监督举报电话，接受群众监督。严格管理，文明执法，程序合法；着装规范，用语文明，无不作为、乱作为现象，严禁发生肢体冲突等群体事件。</w:t>
            </w:r>
          </w:p>
        </w:tc>
      </w:tr>
    </w:tbl>
    <w:p>
      <w:pPr>
        <w:overflowPunct w:val="0"/>
        <w:autoSpaceDE w:val="0"/>
        <w:autoSpaceDN w:val="0"/>
        <w:adjustRightInd w:val="0"/>
        <w:snapToGrid w:val="0"/>
        <w:spacing w:line="590" w:lineRule="exact"/>
        <w:textAlignment w:val="baseline"/>
        <w:rPr>
          <w:rFonts w:hint="eastAsia" w:ascii="黑体" w:hAnsi="黑体" w:eastAsia="黑体" w:cs="黑体"/>
          <w:bCs/>
          <w:sz w:val="32"/>
          <w:szCs w:val="32"/>
        </w:rPr>
      </w:pPr>
      <w:r>
        <w:rPr>
          <w:rFonts w:hint="eastAsia" w:ascii="黑体" w:hAnsi="黑体" w:eastAsia="黑体" w:cs="黑体"/>
          <w:bCs/>
          <w:sz w:val="32"/>
          <w:szCs w:val="32"/>
        </w:rPr>
        <w:t>附件4</w:t>
      </w:r>
    </w:p>
    <w:p/>
    <w:p>
      <w:pPr>
        <w:overflowPunct w:val="0"/>
        <w:autoSpaceDE w:val="0"/>
        <w:autoSpaceDN w:val="0"/>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广安市广安区严管街管理标准</w:t>
      </w:r>
    </w:p>
    <w:p>
      <w:pPr>
        <w:overflowPunct w:val="0"/>
        <w:autoSpaceDE w:val="0"/>
        <w:autoSpaceDN w:val="0"/>
        <w:adjustRightInd w:val="0"/>
        <w:snapToGrid w:val="0"/>
        <w:spacing w:line="5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（共6条：建华路、建设路、北辰大道、通江三路、城墙街、北仓路）</w:t>
      </w:r>
    </w:p>
    <w:p>
      <w:pPr>
        <w:overflowPunct w:val="0"/>
        <w:autoSpaceDE w:val="0"/>
        <w:autoSpaceDN w:val="0"/>
        <w:adjustRightInd w:val="0"/>
        <w:snapToGrid w:val="0"/>
        <w:spacing w:line="560" w:lineRule="exact"/>
        <w:jc w:val="center"/>
        <w:rPr>
          <w:rFonts w:hint="eastAsia" w:ascii="方正仿宋_GBK" w:hAnsi="方正仿宋_GBK" w:eastAsia="方正仿宋_GBK" w:cs="方正仿宋_GBK"/>
          <w:b/>
          <w:bCs/>
          <w:sz w:val="24"/>
          <w:szCs w:val="24"/>
        </w:rPr>
      </w:pPr>
    </w:p>
    <w:tbl>
      <w:tblPr>
        <w:tblStyle w:val="5"/>
        <w:tblW w:w="14959" w:type="dxa"/>
        <w:jc w:val="center"/>
        <w:tblLayout w:type="fixed"/>
        <w:tblCellMar>
          <w:top w:w="0" w:type="dxa"/>
          <w:left w:w="108" w:type="dxa"/>
          <w:bottom w:w="0" w:type="dxa"/>
          <w:right w:w="108" w:type="dxa"/>
        </w:tblCellMar>
      </w:tblPr>
      <w:tblGrid>
        <w:gridCol w:w="721"/>
        <w:gridCol w:w="1418"/>
        <w:gridCol w:w="12820"/>
      </w:tblGrid>
      <w:tr>
        <w:tblPrEx>
          <w:tblCellMar>
            <w:top w:w="0" w:type="dxa"/>
            <w:left w:w="108" w:type="dxa"/>
            <w:bottom w:w="0" w:type="dxa"/>
            <w:right w:w="108" w:type="dxa"/>
          </w:tblCellMar>
        </w:tblPrEx>
        <w:trPr>
          <w:trHeight w:val="351" w:hRule="atLeast"/>
          <w:jc w:val="center"/>
        </w:trPr>
        <w:tc>
          <w:tcPr>
            <w:tcW w:w="721" w:type="dxa"/>
            <w:vMerge w:val="restart"/>
            <w:tcBorders>
              <w:top w:val="single" w:color="auto" w:sz="4" w:space="0"/>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黑体" w:hAnsi="黑体" w:eastAsia="黑体" w:cs="黑体"/>
                <w:sz w:val="20"/>
              </w:rPr>
            </w:pPr>
            <w:r>
              <w:rPr>
                <w:rFonts w:hint="eastAsia" w:ascii="黑体" w:hAnsi="黑体" w:eastAsia="黑体" w:cs="黑体"/>
                <w:sz w:val="20"/>
              </w:rPr>
              <w:t>序号</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黑体" w:hAnsi="黑体" w:eastAsia="黑体" w:cs="黑体"/>
                <w:sz w:val="20"/>
              </w:rPr>
            </w:pPr>
            <w:r>
              <w:rPr>
                <w:rFonts w:hint="eastAsia" w:ascii="黑体" w:hAnsi="黑体" w:eastAsia="黑体" w:cs="黑体"/>
                <w:sz w:val="20"/>
              </w:rPr>
              <w:t>项目</w:t>
            </w:r>
          </w:p>
        </w:tc>
        <w:tc>
          <w:tcPr>
            <w:tcW w:w="12820" w:type="dxa"/>
            <w:vMerge w:val="restart"/>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黑体" w:hAnsi="黑体" w:eastAsia="黑体" w:cs="黑体"/>
                <w:sz w:val="20"/>
              </w:rPr>
            </w:pPr>
            <w:r>
              <w:rPr>
                <w:rFonts w:hint="eastAsia" w:ascii="黑体" w:hAnsi="黑体" w:eastAsia="黑体" w:cs="黑体"/>
                <w:sz w:val="20"/>
              </w:rPr>
              <w:t>管理内容及标准</w:t>
            </w:r>
          </w:p>
        </w:tc>
      </w:tr>
      <w:tr>
        <w:tblPrEx>
          <w:tblCellMar>
            <w:top w:w="0" w:type="dxa"/>
            <w:left w:w="108" w:type="dxa"/>
            <w:bottom w:w="0" w:type="dxa"/>
            <w:right w:w="108" w:type="dxa"/>
          </w:tblCellMar>
        </w:tblPrEx>
        <w:trPr>
          <w:trHeight w:val="312" w:hRule="atLeast"/>
          <w:jc w:val="center"/>
        </w:trPr>
        <w:tc>
          <w:tcPr>
            <w:tcW w:w="721" w:type="dxa"/>
            <w:vMerge w:val="continue"/>
            <w:tcBorders>
              <w:top w:val="single" w:color="auto" w:sz="4" w:space="0"/>
              <w:left w:val="single" w:color="auto" w:sz="8" w:space="0"/>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b/>
                <w:bCs/>
                <w:sz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b/>
                <w:bCs/>
                <w:sz w:val="20"/>
              </w:rPr>
            </w:pPr>
          </w:p>
        </w:tc>
        <w:tc>
          <w:tcPr>
            <w:tcW w:w="12820" w:type="dxa"/>
            <w:vMerge w:val="continue"/>
            <w:tcBorders>
              <w:top w:val="single" w:color="auto" w:sz="4" w:space="0"/>
              <w:left w:val="single" w:color="auto" w:sz="4" w:space="0"/>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b/>
                <w:bCs/>
                <w:sz w:val="20"/>
              </w:rPr>
            </w:pPr>
          </w:p>
        </w:tc>
      </w:tr>
      <w:tr>
        <w:tblPrEx>
          <w:tblCellMar>
            <w:top w:w="0" w:type="dxa"/>
            <w:left w:w="108" w:type="dxa"/>
            <w:bottom w:w="0" w:type="dxa"/>
            <w:right w:w="108" w:type="dxa"/>
          </w:tblCellMar>
        </w:tblPrEx>
        <w:trPr>
          <w:trHeight w:val="621"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1</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建筑立面整洁</w:t>
            </w:r>
          </w:p>
        </w:tc>
        <w:tc>
          <w:tcPr>
            <w:tcW w:w="1282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沿街建（构）筑物外立面应保持整洁完好，不得擅自悬挂、书写、张贴或设置商业性广告标语或粘贴物；建筑物立面门窗防护栏、管线、遮阳棚、空调外机等附着物规范设置，无掉漆或瓷砖脱落现象，无乱贴乱画、乱搭乱建行为。</w:t>
            </w:r>
          </w:p>
        </w:tc>
      </w:tr>
      <w:tr>
        <w:tblPrEx>
          <w:tblCellMar>
            <w:top w:w="0" w:type="dxa"/>
            <w:left w:w="108" w:type="dxa"/>
            <w:bottom w:w="0" w:type="dxa"/>
            <w:right w:w="108" w:type="dxa"/>
          </w:tblCellMar>
        </w:tblPrEx>
        <w:trPr>
          <w:trHeight w:val="701"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2</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广告店招规范</w:t>
            </w:r>
          </w:p>
        </w:tc>
        <w:tc>
          <w:tcPr>
            <w:tcW w:w="1282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店招做到“三齐”，整洁美观完好，文字使用规范，与周边环境协调，无一店多招、落地店招、刀片招牌现象。户外广告设置符合城市容貌标准和技术规范，与街景风貌相协调，整洁完好，运行安全，使用期满后应及时拆除或清理。张贴栏、阅报栏等公共信息栏保持整洁，陈旧</w:t>
            </w:r>
            <w:r>
              <w:rPr>
                <w:rFonts w:hint="eastAsia" w:ascii="仿宋_GB2312" w:hAnsi="仿宋_GB2312" w:eastAsia="仿宋_GB2312" w:cs="仿宋_GB2312"/>
                <w:sz w:val="20"/>
                <w:highlight w:val="none"/>
              </w:rPr>
              <w:t>破损的及时</w:t>
            </w:r>
            <w:r>
              <w:rPr>
                <w:rFonts w:hint="eastAsia" w:ascii="仿宋_GB2312" w:hAnsi="仿宋_GB2312" w:eastAsia="仿宋_GB2312" w:cs="仿宋_GB2312"/>
                <w:sz w:val="20"/>
              </w:rPr>
              <w:t>更换。</w:t>
            </w:r>
          </w:p>
        </w:tc>
      </w:tr>
      <w:tr>
        <w:tblPrEx>
          <w:tblCellMar>
            <w:top w:w="0" w:type="dxa"/>
            <w:left w:w="108" w:type="dxa"/>
            <w:bottom w:w="0" w:type="dxa"/>
            <w:right w:w="108" w:type="dxa"/>
          </w:tblCellMar>
        </w:tblPrEx>
        <w:trPr>
          <w:trHeight w:val="559"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3</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景观亮化美化</w:t>
            </w:r>
          </w:p>
        </w:tc>
        <w:tc>
          <w:tcPr>
            <w:tcW w:w="1282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道路两侧建筑物、构建物、公共设施、广告设施、店招招牌等亮化设施应按照亮化观灯规划要求和街景风貌特色设置，装灯率100%，设备完好率、亮化率99%。</w:t>
            </w:r>
          </w:p>
        </w:tc>
      </w:tr>
      <w:tr>
        <w:tblPrEx>
          <w:tblCellMar>
            <w:top w:w="0" w:type="dxa"/>
            <w:left w:w="108" w:type="dxa"/>
            <w:bottom w:w="0" w:type="dxa"/>
            <w:right w:w="108" w:type="dxa"/>
          </w:tblCellMar>
        </w:tblPrEx>
        <w:trPr>
          <w:trHeight w:val="1020"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4</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公共设施完好</w:t>
            </w:r>
          </w:p>
        </w:tc>
        <w:tc>
          <w:tcPr>
            <w:tcW w:w="1282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道路设施完好，井盖无残缺；公交站台、路名牌、报刊亭、电力通信箱体等公共设施定期清洗维护，保持整洁完好。道路交通标识、标志安全规范，隔离栏（墩）保持整洁，无明显污物、破损和残缺。电信、移动、联通、有线电视、供电等单位在空中架设的管线，以及消防栓尽量入地，空中无“蜘蛛网”现象；及时捆扎外接、下垂、凌乱线缆，修护断裂的线缆，清除、拆除私拉乱接和废弃线缆，扶正、加固在用的线杆。绿化养护良好，绿化带卫生清洁，无裸土，无空缺死株、无依托树木乱挂乱晒、乱拉乱接、乱踩乱踏。</w:t>
            </w:r>
          </w:p>
        </w:tc>
      </w:tr>
      <w:tr>
        <w:tblPrEx>
          <w:tblCellMar>
            <w:top w:w="0" w:type="dxa"/>
            <w:left w:w="108" w:type="dxa"/>
            <w:bottom w:w="0" w:type="dxa"/>
            <w:right w:w="108" w:type="dxa"/>
          </w:tblCellMar>
        </w:tblPrEx>
        <w:trPr>
          <w:trHeight w:val="781"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5</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环境卫生干净</w:t>
            </w:r>
          </w:p>
        </w:tc>
        <w:tc>
          <w:tcPr>
            <w:tcW w:w="1282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道路清扫保洁采用机械化作业为主、人工作业为辅的方式，做到日产日清，达到“六净六无”，即路面净、人行道净、路牙净、收水口净、树根净、墙根净，无瓜果皮核、无杂草树叶、无积存垃圾、无纸屑</w:t>
            </w:r>
            <w:r>
              <w:rPr>
                <w:rFonts w:hint="eastAsia" w:ascii="仿宋_GB2312" w:hAnsi="仿宋_GB2312" w:eastAsia="仿宋_GB2312" w:cs="仿宋_GB2312"/>
                <w:sz w:val="20"/>
                <w:highlight w:val="none"/>
              </w:rPr>
              <w:t>胶袋</w:t>
            </w:r>
            <w:r>
              <w:rPr>
                <w:rFonts w:hint="eastAsia" w:ascii="仿宋_GB2312" w:hAnsi="仿宋_GB2312" w:eastAsia="仿宋_GB2312" w:cs="仿宋_GB2312"/>
                <w:sz w:val="20"/>
              </w:rPr>
              <w:t>、无积水污迹、无人畜粪便。公厕、垃圾中转站、果皮箱等环卫设施齐全、布局合理、功能齐全、设施完好，保持整洁美观，无</w:t>
            </w:r>
            <w:r>
              <w:rPr>
                <w:rFonts w:hint="eastAsia" w:ascii="仿宋_GB2312" w:hAnsi="仿宋_GB2312" w:eastAsia="仿宋_GB2312" w:cs="仿宋_GB2312"/>
                <w:sz w:val="20"/>
                <w:highlight w:val="none"/>
              </w:rPr>
              <w:t>乱吐</w:t>
            </w:r>
            <w:r>
              <w:rPr>
                <w:rFonts w:hint="eastAsia" w:ascii="仿宋_GB2312" w:hAnsi="仿宋_GB2312" w:eastAsia="仿宋_GB2312" w:cs="仿宋_GB2312"/>
                <w:sz w:val="20"/>
              </w:rPr>
              <w:t>乱屙、乱倾乱倒现象。</w:t>
            </w:r>
          </w:p>
        </w:tc>
      </w:tr>
      <w:tr>
        <w:tblPrEx>
          <w:tblCellMar>
            <w:top w:w="0" w:type="dxa"/>
            <w:left w:w="108" w:type="dxa"/>
            <w:bottom w:w="0" w:type="dxa"/>
            <w:right w:w="108" w:type="dxa"/>
          </w:tblCellMar>
        </w:tblPrEx>
        <w:trPr>
          <w:trHeight w:val="551"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6</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市容秩序良好</w:t>
            </w:r>
          </w:p>
        </w:tc>
        <w:tc>
          <w:tcPr>
            <w:tcW w:w="1282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门前五包”责任签订95%以上，沿街店铺经营行为规范，无乱摆乱设、无乱堆乱码、无乱贴乱画、无乱挂乱晒等现象；沿街无随地吐痰、无乱丢烟蒂、无乱扔垃圾、无车内临街抛物，无沿街叫卖、无流动摊点、无流动宣传。</w:t>
            </w:r>
          </w:p>
        </w:tc>
      </w:tr>
      <w:tr>
        <w:tblPrEx>
          <w:tblCellMar>
            <w:top w:w="0" w:type="dxa"/>
            <w:left w:w="108" w:type="dxa"/>
            <w:bottom w:w="0" w:type="dxa"/>
            <w:right w:w="108" w:type="dxa"/>
          </w:tblCellMar>
        </w:tblPrEx>
        <w:trPr>
          <w:trHeight w:val="699" w:hRule="atLeast"/>
          <w:jc w:val="center"/>
        </w:trPr>
        <w:tc>
          <w:tcPr>
            <w:tcW w:w="721" w:type="dxa"/>
            <w:tcBorders>
              <w:top w:val="nil"/>
              <w:left w:val="single" w:color="auto" w:sz="8" w:space="0"/>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7</w:t>
            </w:r>
          </w:p>
        </w:tc>
        <w:tc>
          <w:tcPr>
            <w:tcW w:w="1418" w:type="dxa"/>
            <w:tcBorders>
              <w:top w:val="nil"/>
              <w:left w:val="nil"/>
              <w:bottom w:val="single" w:color="auto" w:sz="4"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生态环境改善</w:t>
            </w:r>
          </w:p>
        </w:tc>
        <w:tc>
          <w:tcPr>
            <w:tcW w:w="12820" w:type="dxa"/>
            <w:tcBorders>
              <w:top w:val="nil"/>
              <w:left w:val="nil"/>
              <w:bottom w:val="single" w:color="auto" w:sz="4"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深入开展环境保护“三大保卫战”，规范沿街餐饮油烟设施设置，全面取缔露天烧烤，禁止露天焚烧行为，加强生活</w:t>
            </w:r>
            <w:r>
              <w:rPr>
                <w:rFonts w:hint="eastAsia" w:ascii="仿宋_GB2312" w:hAnsi="仿宋_GB2312" w:eastAsia="仿宋_GB2312" w:cs="仿宋_GB2312"/>
                <w:sz w:val="20"/>
                <w:highlight w:val="none"/>
              </w:rPr>
              <w:t>噪音</w:t>
            </w:r>
            <w:r>
              <w:rPr>
                <w:rFonts w:hint="eastAsia" w:ascii="仿宋_GB2312" w:hAnsi="仿宋_GB2312" w:eastAsia="仿宋_GB2312" w:cs="仿宋_GB2312"/>
                <w:sz w:val="20"/>
              </w:rPr>
              <w:t>管控；加强雨污管网维修，实施雨污分流，严禁擅自铺设雨污管线，无乱倾乱倒现象；加强建筑工地文明施工管理，实施全封闭围栏施工，围挡保持完好整洁卫生，按标准设置进出口，规范车辆进出行为，严格建筑渣土、建材运输管理，不得出现“抛冒滴漏”。</w:t>
            </w:r>
          </w:p>
        </w:tc>
      </w:tr>
      <w:tr>
        <w:tblPrEx>
          <w:tblCellMar>
            <w:top w:w="0" w:type="dxa"/>
            <w:left w:w="108" w:type="dxa"/>
            <w:bottom w:w="0" w:type="dxa"/>
            <w:right w:w="108" w:type="dxa"/>
          </w:tblCellMar>
        </w:tblPrEx>
        <w:trPr>
          <w:trHeight w:val="625" w:hRule="atLeast"/>
          <w:jc w:val="center"/>
        </w:trPr>
        <w:tc>
          <w:tcPr>
            <w:tcW w:w="721" w:type="dxa"/>
            <w:tcBorders>
              <w:top w:val="nil"/>
              <w:left w:val="single" w:color="auto" w:sz="8" w:space="0"/>
              <w:bottom w:val="single" w:color="auto" w:sz="8"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8</w:t>
            </w:r>
          </w:p>
        </w:tc>
        <w:tc>
          <w:tcPr>
            <w:tcW w:w="1418" w:type="dxa"/>
            <w:tcBorders>
              <w:top w:val="nil"/>
              <w:left w:val="nil"/>
              <w:bottom w:val="single" w:color="auto" w:sz="8" w:space="0"/>
              <w:right w:val="single" w:color="auto" w:sz="4" w:space="0"/>
            </w:tcBorders>
            <w:vAlign w:val="center"/>
          </w:tcPr>
          <w:p>
            <w:pPr>
              <w:overflowPunct w:val="0"/>
              <w:autoSpaceDE w:val="0"/>
              <w:autoSpaceDN w:val="0"/>
              <w:adjustRightInd w:val="0"/>
              <w:snapToGrid w:val="0"/>
              <w:jc w:val="center"/>
              <w:rPr>
                <w:rFonts w:hint="eastAsia" w:ascii="仿宋_GB2312" w:hAnsi="仿宋_GB2312" w:eastAsia="仿宋_GB2312" w:cs="仿宋_GB2312"/>
                <w:sz w:val="20"/>
              </w:rPr>
            </w:pPr>
            <w:r>
              <w:rPr>
                <w:rFonts w:hint="eastAsia" w:ascii="仿宋_GB2312" w:hAnsi="仿宋_GB2312" w:eastAsia="仿宋_GB2312" w:cs="仿宋_GB2312"/>
                <w:sz w:val="20"/>
              </w:rPr>
              <w:t>巡查管控到位</w:t>
            </w:r>
          </w:p>
        </w:tc>
        <w:tc>
          <w:tcPr>
            <w:tcW w:w="12820" w:type="dxa"/>
            <w:tcBorders>
              <w:top w:val="nil"/>
              <w:left w:val="nil"/>
              <w:bottom w:val="single" w:color="auto" w:sz="8" w:space="0"/>
              <w:right w:val="single" w:color="auto" w:sz="4" w:space="0"/>
            </w:tcBorders>
            <w:vAlign w:val="center"/>
          </w:tcPr>
          <w:p>
            <w:pPr>
              <w:overflowPunct w:val="0"/>
              <w:autoSpaceDE w:val="0"/>
              <w:autoSpaceDN w:val="0"/>
              <w:adjustRightInd w:val="0"/>
              <w:snapToGrid w:val="0"/>
              <w:rPr>
                <w:rFonts w:hint="eastAsia" w:ascii="仿宋_GB2312" w:hAnsi="仿宋_GB2312" w:eastAsia="仿宋_GB2312" w:cs="仿宋_GB2312"/>
                <w:sz w:val="20"/>
              </w:rPr>
            </w:pPr>
            <w:r>
              <w:rPr>
                <w:rFonts w:hint="eastAsia" w:ascii="仿宋_GB2312" w:hAnsi="仿宋_GB2312" w:eastAsia="仿宋_GB2312" w:cs="仿宋_GB2312"/>
                <w:sz w:val="20"/>
              </w:rPr>
              <w:t>街长制、网格化管理落实到位，实行“五定”责任，职责明确，公开街长和网格人员及职责，公开监督举报电话，接受群众监督。严格管理，文明执法，程序合法；着装规范，用语文明，无不作为、乱作为现象，严禁发生肢体冲突等群体事件。</w:t>
            </w:r>
          </w:p>
        </w:tc>
      </w:tr>
    </w:tbl>
    <w:p>
      <w:pPr>
        <w:pStyle w:val="2"/>
        <w:rPr>
          <w:rFonts w:hint="eastAsia"/>
        </w:rPr>
        <w:sectPr>
          <w:headerReference r:id="rId3" w:type="default"/>
          <w:footerReference r:id="rId4" w:type="default"/>
          <w:pgSz w:w="16838" w:h="11906" w:orient="landscape"/>
          <w:pgMar w:top="850" w:right="850" w:bottom="850" w:left="850" w:header="851" w:footer="454" w:gutter="0"/>
          <w:pgNumType w:fmt="decimal" w:start="19"/>
          <w:cols w:space="0" w:num="1"/>
          <w:docGrid w:type="lines" w:linePitch="312" w:charSpace="0"/>
        </w:sect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bookmarkStart w:id="0" w:name="_GoBack"/>
      <w:bookmarkEnd w:id="0"/>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autoSpaceDE/>
        <w:autoSpaceDN/>
        <w:adjustRightInd/>
        <w:spacing w:line="460" w:lineRule="exact"/>
        <w:jc w:val="both"/>
        <w:rPr>
          <w:rFonts w:hint="eastAsia"/>
        </w:rPr>
      </w:pPr>
    </w:p>
    <w:sectPr>
      <w:footerReference r:id="rId5" w:type="default"/>
      <w:pgSz w:w="11906" w:h="16838"/>
      <w:pgMar w:top="2041" w:right="1531" w:bottom="1701" w:left="1531" w:header="851" w:footer="45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19</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28"/>
    <w:rsid w:val="0000164E"/>
    <w:rsid w:val="00003A44"/>
    <w:rsid w:val="00003FCA"/>
    <w:rsid w:val="00052AFC"/>
    <w:rsid w:val="000F4D2B"/>
    <w:rsid w:val="00120574"/>
    <w:rsid w:val="00127812"/>
    <w:rsid w:val="00130547"/>
    <w:rsid w:val="001B1D23"/>
    <w:rsid w:val="001E48A8"/>
    <w:rsid w:val="00212EB4"/>
    <w:rsid w:val="002205B4"/>
    <w:rsid w:val="00226BB9"/>
    <w:rsid w:val="002415C5"/>
    <w:rsid w:val="002445F1"/>
    <w:rsid w:val="002454A2"/>
    <w:rsid w:val="00290322"/>
    <w:rsid w:val="002B226E"/>
    <w:rsid w:val="00385B83"/>
    <w:rsid w:val="00482AC8"/>
    <w:rsid w:val="00482CD5"/>
    <w:rsid w:val="0048520A"/>
    <w:rsid w:val="004B4244"/>
    <w:rsid w:val="004E6C38"/>
    <w:rsid w:val="004F4F8E"/>
    <w:rsid w:val="00517C44"/>
    <w:rsid w:val="00530E78"/>
    <w:rsid w:val="00531448"/>
    <w:rsid w:val="00540857"/>
    <w:rsid w:val="005A06F5"/>
    <w:rsid w:val="005D225D"/>
    <w:rsid w:val="005F6228"/>
    <w:rsid w:val="006027A6"/>
    <w:rsid w:val="006051D1"/>
    <w:rsid w:val="0060639E"/>
    <w:rsid w:val="00616595"/>
    <w:rsid w:val="006205A6"/>
    <w:rsid w:val="00650A87"/>
    <w:rsid w:val="006611E1"/>
    <w:rsid w:val="00673E0A"/>
    <w:rsid w:val="00680B7A"/>
    <w:rsid w:val="0069429B"/>
    <w:rsid w:val="006D0C30"/>
    <w:rsid w:val="00710462"/>
    <w:rsid w:val="00743C57"/>
    <w:rsid w:val="00777468"/>
    <w:rsid w:val="007A6CA4"/>
    <w:rsid w:val="007D5FD1"/>
    <w:rsid w:val="00800477"/>
    <w:rsid w:val="00803EE4"/>
    <w:rsid w:val="00824D4A"/>
    <w:rsid w:val="00841F0C"/>
    <w:rsid w:val="0084698D"/>
    <w:rsid w:val="008676FA"/>
    <w:rsid w:val="008D040B"/>
    <w:rsid w:val="008D58DB"/>
    <w:rsid w:val="008D79BC"/>
    <w:rsid w:val="008F6298"/>
    <w:rsid w:val="00915CA4"/>
    <w:rsid w:val="009430E2"/>
    <w:rsid w:val="009600D1"/>
    <w:rsid w:val="00962B60"/>
    <w:rsid w:val="009855BB"/>
    <w:rsid w:val="009C1010"/>
    <w:rsid w:val="009D1861"/>
    <w:rsid w:val="009E272E"/>
    <w:rsid w:val="00A21F33"/>
    <w:rsid w:val="00A276E4"/>
    <w:rsid w:val="00A31239"/>
    <w:rsid w:val="00A339F9"/>
    <w:rsid w:val="00A45FCE"/>
    <w:rsid w:val="00A80016"/>
    <w:rsid w:val="00A93C1E"/>
    <w:rsid w:val="00AB2871"/>
    <w:rsid w:val="00AB59A1"/>
    <w:rsid w:val="00AF3D17"/>
    <w:rsid w:val="00B2366D"/>
    <w:rsid w:val="00B34BE0"/>
    <w:rsid w:val="00B44AF8"/>
    <w:rsid w:val="00B778DF"/>
    <w:rsid w:val="00B861E8"/>
    <w:rsid w:val="00B9554B"/>
    <w:rsid w:val="00BD1974"/>
    <w:rsid w:val="00BE0595"/>
    <w:rsid w:val="00BF38C7"/>
    <w:rsid w:val="00C24B3C"/>
    <w:rsid w:val="00C24B76"/>
    <w:rsid w:val="00C2602E"/>
    <w:rsid w:val="00C26321"/>
    <w:rsid w:val="00C35837"/>
    <w:rsid w:val="00C60907"/>
    <w:rsid w:val="00C767C3"/>
    <w:rsid w:val="00C819BE"/>
    <w:rsid w:val="00CB5CEF"/>
    <w:rsid w:val="00CC74CD"/>
    <w:rsid w:val="00CD1872"/>
    <w:rsid w:val="00D301D2"/>
    <w:rsid w:val="00D36BD6"/>
    <w:rsid w:val="00D461F7"/>
    <w:rsid w:val="00D5110C"/>
    <w:rsid w:val="00D612A2"/>
    <w:rsid w:val="00D8429E"/>
    <w:rsid w:val="00DA7EEC"/>
    <w:rsid w:val="00DB6C81"/>
    <w:rsid w:val="00DF6B55"/>
    <w:rsid w:val="00E11B32"/>
    <w:rsid w:val="00E573CF"/>
    <w:rsid w:val="00E90196"/>
    <w:rsid w:val="00EC182B"/>
    <w:rsid w:val="00F319A2"/>
    <w:rsid w:val="00F94211"/>
    <w:rsid w:val="00FB53E8"/>
    <w:rsid w:val="00FD368E"/>
    <w:rsid w:val="054A283E"/>
    <w:rsid w:val="0D9F3246"/>
    <w:rsid w:val="11D2112C"/>
    <w:rsid w:val="1C7632F1"/>
    <w:rsid w:val="25CF1D8B"/>
    <w:rsid w:val="29F32300"/>
    <w:rsid w:val="2A85144F"/>
    <w:rsid w:val="2FD115C6"/>
    <w:rsid w:val="3B6B0739"/>
    <w:rsid w:val="3FB26E4C"/>
    <w:rsid w:val="473450C4"/>
    <w:rsid w:val="50605CE3"/>
    <w:rsid w:val="50D31E45"/>
    <w:rsid w:val="516D0F66"/>
    <w:rsid w:val="5B2230EF"/>
    <w:rsid w:val="5C341B00"/>
    <w:rsid w:val="5F831E91"/>
    <w:rsid w:val="5F842768"/>
    <w:rsid w:val="6AA45D98"/>
    <w:rsid w:val="6F193483"/>
    <w:rsid w:val="76771918"/>
    <w:rsid w:val="76D43211"/>
    <w:rsid w:val="7CDB6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unhideWhenUsed/>
    <w:qFormat/>
    <w:uiPriority w:val="0"/>
    <w:rPr>
      <w:rFonts w:eastAsia="宋体" w:cs="Times New Roman"/>
      <w:szCs w:val="22"/>
      <w:lang w:eastAsia="zh-CN"/>
    </w:rPr>
  </w:style>
  <w:style w:type="character" w:styleId="8">
    <w:name w:val="Emphasis"/>
    <w:basedOn w:val="6"/>
    <w:qFormat/>
    <w:uiPriority w:val="20"/>
    <w:rPr>
      <w:i/>
      <w:iCs/>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18337-927A-4643-9F8C-41B60ED4390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2207</Words>
  <Characters>12586</Characters>
  <Lines>104</Lines>
  <Paragraphs>29</Paragraphs>
  <TotalTime>7</TotalTime>
  <ScaleCrop>false</ScaleCrop>
  <LinksUpToDate>false</LinksUpToDate>
  <CharactersWithSpaces>14764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2020-10-10T07:14:00Z</dcterms:created>
  <dc:creator>PC</dc:creator>
  <cp:lastModifiedBy>Administrator</cp:lastModifiedBy>
  <cp:lastPrinted>2020-10-30T02:34:00Z</cp:lastPrinted>
  <dcterms:modified xsi:type="dcterms:W3CDTF">2020-11-16T07:50:30Z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