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192" w:firstLineChars="60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hint="eastAsia" w:eastAsia="方正黑体_GBK"/>
          <w:color w:val="000000"/>
        </w:rPr>
        <w:t>3</w:t>
      </w:r>
    </w:p>
    <w:p>
      <w:pPr>
        <w:spacing w:line="580" w:lineRule="exact"/>
        <w:jc w:val="center"/>
        <w:rPr>
          <w:rFonts w:hint="eastAsia" w:eastAsia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名 词 解 释</w:t>
      </w:r>
    </w:p>
    <w:p>
      <w:pPr>
        <w:tabs>
          <w:tab w:val="left" w:pos="2450"/>
        </w:tabs>
        <w:spacing w:line="580" w:lineRule="exact"/>
        <w:ind w:firstLine="643" w:firstLineChars="200"/>
        <w:rPr>
          <w:rFonts w:ascii="文鼎CS仿宋体" w:eastAsia="文鼎CS仿宋体"/>
          <w:b/>
        </w:rPr>
      </w:pP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六稳：</w:t>
      </w:r>
      <w:r>
        <w:rPr>
          <w:rFonts w:hint="eastAsia" w:eastAsia="文鼎CS仿宋体"/>
        </w:rPr>
        <w:t>稳就业、稳金融、稳外贸、稳外资、稳投资、稳预期工作。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2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六保：</w:t>
      </w:r>
      <w:r>
        <w:rPr>
          <w:rFonts w:hint="eastAsia" w:eastAsia="文鼎CS仿宋体"/>
        </w:rPr>
        <w:t>保居民就业、保基本民生、保市场主体、保粮食能源安全、保产业链供应链稳定、保基层运转。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3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专精特新：</w:t>
      </w:r>
      <w:r>
        <w:rPr>
          <w:rFonts w:hint="eastAsia" w:eastAsia="文鼎CS仿宋体"/>
        </w:rPr>
        <w:t>专业化、精细化、特色化、新颖化。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4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两上企业：</w:t>
      </w:r>
      <w:r>
        <w:rPr>
          <w:rFonts w:hint="eastAsia" w:eastAsia="文鼎CS仿宋体"/>
        </w:rPr>
        <w:t>限上商贸企业、规上服务业企业。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5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.十乱：</w:t>
      </w:r>
      <w:r>
        <w:rPr>
          <w:rFonts w:hint="eastAsia" w:eastAsia="文鼎CS仿宋体"/>
        </w:rPr>
        <w:t>乱贴、乱画、乱泼、乱倒、乱拉、乱挂、乱打、乱建、乱停、乱放。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6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四好农村路：</w:t>
      </w:r>
      <w:r>
        <w:rPr>
          <w:rFonts w:hint="eastAsia" w:eastAsia="文鼎CS仿宋体"/>
        </w:rPr>
        <w:t>建好、管好、护好、运营好农村公路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7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“六个一”标准：</w:t>
      </w:r>
      <w:r>
        <w:rPr>
          <w:rFonts w:hint="eastAsia" w:eastAsia="文鼎CS仿宋体"/>
        </w:rPr>
        <w:t>一个标准化农贸市场、一条规范商业街区、一所公办幼儿园、一个文体广场、一个停车场、一个管网配套且规范运行的污水处理厂（站）。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8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五大行动：</w:t>
      </w:r>
      <w:r>
        <w:rPr>
          <w:rFonts w:hint="eastAsia" w:eastAsia="文鼎CS仿宋体"/>
        </w:rPr>
        <w:t>村庄清洁、农村厕所革命、生活垃圾治理、生活污水治理、畜禽粪污资源化利用。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9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五类农房：</w:t>
      </w:r>
      <w:r>
        <w:rPr>
          <w:rFonts w:hint="eastAsia" w:eastAsia="文鼎CS仿宋体"/>
        </w:rPr>
        <w:t>新村聚居点、老旧院落、散居农户、农村居民小区、传统院落。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10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厕污共治：</w:t>
      </w:r>
      <w:r>
        <w:rPr>
          <w:rFonts w:hint="eastAsia" w:eastAsia="文鼎CS仿宋体"/>
        </w:rPr>
        <w:t>黑水、生活污水治理改造。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11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一榜两评：</w:t>
      </w:r>
      <w:r>
        <w:rPr>
          <w:rFonts w:hint="eastAsia" w:eastAsia="文鼎CS仿宋体"/>
        </w:rPr>
        <w:t>“一榜”指乡风文明红黑榜；“两评”指环境卫生和文明村民两项评比。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12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“</w:t>
      </w:r>
      <w:r>
        <w:rPr>
          <w:rFonts w:hint="eastAsia" w:hAnsi="黑体" w:eastAsia="黑体"/>
        </w:rPr>
        <w:t>双碳</w:t>
      </w:r>
      <w:r>
        <w:rPr>
          <w:rFonts w:hint="eastAsia" w:eastAsia="黑体"/>
        </w:rPr>
        <w:t>”</w:t>
      </w:r>
      <w:r>
        <w:rPr>
          <w:rFonts w:hint="eastAsia" w:hAnsi="黑体" w:eastAsia="黑体"/>
        </w:rPr>
        <w:t>工作：</w:t>
      </w:r>
      <w:r>
        <w:rPr>
          <w:rFonts w:hint="eastAsia" w:eastAsia="文鼎CS仿宋体"/>
        </w:rPr>
        <w:t>即“碳达峰”、“碳中和”工作部署，指在2030年前，我国二氧化碳排放达到峰值；到2060年，我国采取植树、节能减排等方式，能够将排放的二氧化碳全部抵消掉。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13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十年禁渔：</w:t>
      </w:r>
      <w:r>
        <w:rPr>
          <w:rFonts w:hint="eastAsia" w:eastAsia="文鼎CS仿宋体"/>
        </w:rPr>
        <w:t>指从 2021年1月1日0时起实行暂定为期10年的常年禁捕，期间禁止天然渔业资源的生产性捕捞。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14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一控两减三利用：</w:t>
      </w:r>
      <w:r>
        <w:rPr>
          <w:rFonts w:hint="eastAsia" w:eastAsia="文鼎CS仿宋体"/>
        </w:rPr>
        <w:t xml:space="preserve"> 控制农业用水的总量，化肥、农药减量使用，畜禽粪污、农膜、农作物秸秆基本得到资源化、综合循环再利用和无害化处理。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15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两项改革：</w:t>
      </w:r>
      <w:r>
        <w:rPr>
          <w:rFonts w:hint="eastAsia" w:eastAsia="文鼎CS仿宋体"/>
        </w:rPr>
        <w:t>乡镇行政区划调整改革和村级建制调整改革。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16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合广长协同发展示范区：</w:t>
      </w:r>
      <w:r>
        <w:rPr>
          <w:rFonts w:hint="eastAsia" w:eastAsia="文鼎CS仿宋体"/>
        </w:rPr>
        <w:t>按照《成渝地区双城经济圈建设规划纲要》要求，在合川区、广安市、长寿区打造环重庆中心城区的合广长协同发展示范区。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17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四个不摘：</w:t>
      </w:r>
      <w:r>
        <w:rPr>
          <w:rFonts w:hint="eastAsia" w:eastAsia="文鼎CS仿宋体"/>
        </w:rPr>
        <w:t xml:space="preserve"> 摘帽不摘责任、摘帽不摘政策、摘帽不摘帮扶、摘帽不摘监管。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18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“</w:t>
      </w:r>
      <w:r>
        <w:rPr>
          <w:rFonts w:hint="eastAsia" w:hAnsi="黑体" w:eastAsia="黑体"/>
        </w:rPr>
        <w:t>双减</w:t>
      </w:r>
      <w:r>
        <w:rPr>
          <w:rFonts w:hint="eastAsia" w:eastAsia="黑体"/>
        </w:rPr>
        <w:t>”</w:t>
      </w:r>
      <w:r>
        <w:rPr>
          <w:rFonts w:hint="eastAsia" w:hAnsi="黑体" w:eastAsia="黑体"/>
        </w:rPr>
        <w:t>政策：</w:t>
      </w:r>
      <w:r>
        <w:rPr>
          <w:rFonts w:hint="eastAsia" w:eastAsia="文鼎CS仿宋体"/>
        </w:rPr>
        <w:t>指要有效减轻义务教育阶段学生过重作业负担和校外培训负担。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19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“</w:t>
      </w:r>
      <w:r>
        <w:rPr>
          <w:rFonts w:hint="eastAsia" w:hAnsi="黑体" w:eastAsia="黑体"/>
        </w:rPr>
        <w:t>三名</w:t>
      </w:r>
      <w:r>
        <w:rPr>
          <w:rFonts w:hint="eastAsia" w:eastAsia="黑体"/>
        </w:rPr>
        <w:t>”</w:t>
      </w:r>
      <w:r>
        <w:rPr>
          <w:rFonts w:hint="eastAsia" w:hAnsi="黑体" w:eastAsia="黑体"/>
        </w:rPr>
        <w:t>工作室：</w:t>
      </w:r>
      <w:r>
        <w:rPr>
          <w:rFonts w:hint="eastAsia" w:eastAsia="文鼎CS仿宋体"/>
        </w:rPr>
        <w:t>名教师工作室、名班主任工作室、名校长工作室。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20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治重化积：</w:t>
      </w:r>
      <w:r>
        <w:rPr>
          <w:rFonts w:hint="eastAsia" w:eastAsia="文鼎CS仿宋体"/>
        </w:rPr>
        <w:t>即治理重复信访，化解信访积案工作。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21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信访事项</w:t>
      </w:r>
      <w:r>
        <w:rPr>
          <w:rFonts w:hint="eastAsia" w:eastAsia="黑体"/>
        </w:rPr>
        <w:t>“</w:t>
      </w:r>
      <w:r>
        <w:rPr>
          <w:rFonts w:hint="eastAsia" w:hAnsi="黑体" w:eastAsia="黑体"/>
        </w:rPr>
        <w:t>三率</w:t>
      </w:r>
      <w:r>
        <w:rPr>
          <w:rFonts w:hint="eastAsia" w:eastAsia="黑体"/>
        </w:rPr>
        <w:t>”</w:t>
      </w:r>
      <w:r>
        <w:rPr>
          <w:rFonts w:hint="eastAsia" w:hAnsi="黑体" w:eastAsia="黑体"/>
        </w:rPr>
        <w:t>：</w:t>
      </w:r>
      <w:r>
        <w:rPr>
          <w:rFonts w:hint="eastAsia" w:eastAsia="文鼎CS仿宋体"/>
        </w:rPr>
        <w:t>信访案件及时受理率、按期办结率、群众满意率。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22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街长制：</w:t>
      </w:r>
      <w:r>
        <w:rPr>
          <w:rFonts w:hint="eastAsia" w:eastAsia="文鼎CS仿宋体"/>
        </w:rPr>
        <w:t>指将各片区按路段划分为若干道路网格，由各部门相关负责人担任道路管理街长，负责道路沿线日常管理工作的一项制度。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23</w:t>
      </w:r>
      <w:r>
        <w:rPr>
          <w:rFonts w:hint="eastAsia" w:ascii="文鼎CS仿宋体" w:eastAsia="文鼎CS仿宋体"/>
        </w:rPr>
        <w:t>.</w:t>
      </w:r>
      <w:r>
        <w:rPr>
          <w:rFonts w:hint="eastAsia" w:eastAsia="黑体"/>
        </w:rPr>
        <w:t>“1+N”</w:t>
      </w:r>
      <w:r>
        <w:rPr>
          <w:rFonts w:hint="eastAsia" w:hAnsi="黑体" w:eastAsia="黑体"/>
        </w:rPr>
        <w:t>政策体系：</w:t>
      </w:r>
      <w:r>
        <w:rPr>
          <w:rFonts w:hint="eastAsia" w:eastAsia="文鼎CS仿宋体"/>
        </w:rPr>
        <w:t>“1”是要有扶贫产业；“N”是同时有若干项扶贫政策措施。</w:t>
      </w:r>
    </w:p>
    <w:p>
      <w:pPr>
        <w:tabs>
          <w:tab w:val="left" w:pos="2450"/>
        </w:tabs>
        <w:spacing w:line="580" w:lineRule="exact"/>
        <w:ind w:firstLine="640" w:firstLineChars="200"/>
        <w:rPr>
          <w:rFonts w:hint="eastAsia" w:eastAsia="文鼎CS仿宋体"/>
        </w:rPr>
      </w:pPr>
      <w:r>
        <w:rPr>
          <w:rFonts w:hint="eastAsia" w:eastAsia="黑体"/>
        </w:rPr>
        <w:t>24</w:t>
      </w:r>
      <w:r>
        <w:rPr>
          <w:rFonts w:hint="eastAsia" w:ascii="文鼎CS仿宋体" w:eastAsia="文鼎CS仿宋体"/>
        </w:rPr>
        <w:t>.</w:t>
      </w:r>
      <w:r>
        <w:rPr>
          <w:rFonts w:hint="eastAsia" w:hAnsi="黑体" w:eastAsia="黑体"/>
        </w:rPr>
        <w:t>一江六河：</w:t>
      </w:r>
      <w:r>
        <w:rPr>
          <w:rFonts w:hint="eastAsia" w:eastAsia="文鼎CS仿宋体"/>
        </w:rPr>
        <w:t>渠江、肖溪河、消水河、西溪河、鱼池滩河、土河、蒙溪河。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OGE1NWZjZjNlZmUwZTlhNzNkOTM2NmY4MjIwNjgifQ=="/>
  </w:docVars>
  <w:rsids>
    <w:rsidRoot w:val="697D4CC4"/>
    <w:rsid w:val="697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2022-07-06T00:42:00Z</dcterms:created>
  <dc:creator>但丁熊</dc:creator>
  <cp:lastModifiedBy>但丁熊</cp:lastModifiedBy>
  <dcterms:modified xsi:type="dcterms:W3CDTF">2022-07-06T00:43:05Z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3198F54824CF441287E11B1C91C85B36</vt:lpwstr>
  </property>
</Properties>
</file>