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B8" w:rsidRDefault="00D16EB8">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p>
    <w:p w:rsidR="00D16EB8" w:rsidRDefault="00D16EB8">
      <w:pPr>
        <w:spacing w:line="600" w:lineRule="exact"/>
        <w:ind w:firstLine="64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广安区电子商务进农村综合示范</w:t>
      </w:r>
    </w:p>
    <w:p w:rsidR="00D16EB8" w:rsidRDefault="00D16EB8">
      <w:pPr>
        <w:spacing w:line="600" w:lineRule="exact"/>
        <w:ind w:firstLine="64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项目资金管理制度</w:t>
      </w:r>
    </w:p>
    <w:p w:rsidR="00D16EB8" w:rsidRDefault="00D16EB8">
      <w:pPr>
        <w:spacing w:line="600" w:lineRule="exact"/>
        <w:ind w:firstLine="642"/>
        <w:rPr>
          <w:rFonts w:ascii="仿宋_GB2312" w:eastAsia="仿宋_GB2312" w:hAnsi="仿宋"/>
          <w:sz w:val="32"/>
          <w:szCs w:val="32"/>
        </w:rPr>
      </w:pP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sz w:val="32"/>
          <w:szCs w:val="32"/>
        </w:rPr>
        <w:t>为促进我区电子商务进农村综合示范工作更好、更快地发展，规范和完善电子商务进农村综合示范专项资金的管理，根据《四川省人民政府办公厅关于印发四川省促进农村电子商务发展实施意见的通知》（川办发〔</w:t>
      </w:r>
      <w:r>
        <w:rPr>
          <w:rFonts w:ascii="仿宋_GB2312" w:eastAsia="仿宋_GB2312" w:hAnsi="仿宋"/>
          <w:sz w:val="32"/>
          <w:szCs w:val="32"/>
        </w:rPr>
        <w:t>2015</w:t>
      </w:r>
      <w:r>
        <w:rPr>
          <w:rFonts w:ascii="仿宋_GB2312" w:eastAsia="仿宋_GB2312" w:hAnsi="仿宋" w:hint="eastAsia"/>
          <w:sz w:val="32"/>
          <w:szCs w:val="32"/>
        </w:rPr>
        <w:t>〕</w:t>
      </w:r>
      <w:r>
        <w:rPr>
          <w:rFonts w:ascii="仿宋_GB2312" w:eastAsia="仿宋_GB2312" w:hAnsi="仿宋"/>
          <w:sz w:val="32"/>
          <w:szCs w:val="32"/>
        </w:rPr>
        <w:t>49</w:t>
      </w:r>
      <w:r>
        <w:rPr>
          <w:rFonts w:ascii="仿宋_GB2312" w:eastAsia="仿宋_GB2312" w:hAnsi="仿宋" w:hint="eastAsia"/>
          <w:sz w:val="32"/>
          <w:szCs w:val="32"/>
        </w:rPr>
        <w:t>号）等文件精神，结合我区实际情况，特制定本资金管理制度。</w:t>
      </w:r>
    </w:p>
    <w:p w:rsidR="00D16EB8" w:rsidRDefault="00D16EB8">
      <w:pPr>
        <w:spacing w:line="700" w:lineRule="exact"/>
        <w:ind w:firstLine="642"/>
        <w:rPr>
          <w:rFonts w:ascii="仿宋_GB2312" w:eastAsia="仿宋_GB2312" w:hAnsi="仿宋"/>
          <w:sz w:val="32"/>
          <w:szCs w:val="32"/>
        </w:rPr>
      </w:pPr>
      <w:r>
        <w:rPr>
          <w:rFonts w:ascii="黑体" w:eastAsia="黑体" w:hAnsi="黑体" w:cs="黑体" w:hint="eastAsia"/>
          <w:sz w:val="32"/>
          <w:szCs w:val="32"/>
        </w:rPr>
        <w:t>一、总则</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第一条</w:t>
      </w:r>
      <w:r>
        <w:rPr>
          <w:rFonts w:ascii="仿宋_GB2312" w:eastAsia="仿宋_GB2312" w:hAnsi="仿宋"/>
          <w:sz w:val="32"/>
          <w:szCs w:val="32"/>
        </w:rPr>
        <w:t xml:space="preserve"> </w:t>
      </w:r>
      <w:r>
        <w:rPr>
          <w:rFonts w:ascii="仿宋_GB2312" w:eastAsia="仿宋_GB2312" w:hAnsi="仿宋" w:hint="eastAsia"/>
          <w:sz w:val="32"/>
          <w:szCs w:val="32"/>
        </w:rPr>
        <w:t>本管理制度中的电子商务进农村综合示范项目专项资金是指由中央财政安排的补贴资金和区本级配套资金，专项用于电子商务进农村示范工程建设（以下简称“专项资金”）。</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第二条</w:t>
      </w:r>
      <w:r>
        <w:rPr>
          <w:rFonts w:ascii="仿宋_GB2312" w:eastAsia="仿宋_GB2312" w:hAnsi="仿宋"/>
          <w:sz w:val="32"/>
          <w:szCs w:val="32"/>
        </w:rPr>
        <w:t xml:space="preserve"> </w:t>
      </w:r>
      <w:r>
        <w:rPr>
          <w:rFonts w:ascii="仿宋_GB2312" w:eastAsia="仿宋_GB2312" w:hAnsi="仿宋" w:hint="eastAsia"/>
          <w:sz w:val="32"/>
          <w:szCs w:val="32"/>
        </w:rPr>
        <w:t>专项资金的使用范围</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sz w:val="32"/>
          <w:szCs w:val="32"/>
        </w:rPr>
        <w:t xml:space="preserve">专项资金主要用于项目建设、设施设备购置安装、信息系统开发运用、电商培训孵化等与项目建设实施直接相关的支出。专项资金不得用于征地拆迁、车辆购置（物流车除外）开支；不得用于网络交易平台建设、购买流量支出和道路、房屋等土建工程。对专项资金专款专用，专账核算，并按有关规定使用，确保资金安全及使用效果。　</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第三条</w:t>
      </w:r>
      <w:r>
        <w:rPr>
          <w:rFonts w:ascii="仿宋_GB2312" w:eastAsia="仿宋_GB2312" w:hAnsi="仿宋"/>
          <w:sz w:val="32"/>
          <w:szCs w:val="32"/>
        </w:rPr>
        <w:t xml:space="preserve"> </w:t>
      </w:r>
      <w:r>
        <w:rPr>
          <w:rFonts w:ascii="仿宋_GB2312" w:eastAsia="仿宋_GB2312" w:hAnsi="仿宋" w:hint="eastAsia"/>
          <w:sz w:val="32"/>
          <w:szCs w:val="32"/>
        </w:rPr>
        <w:t>专项资金使用和管理遵循以下原则</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公平竞争，公开透明。专项资金使用必须严格遵守有关法律、法规和相关规章制度。建设运营项目可以采取方案评审或公开招商确定项目承办主体，公开透明，广泛接受监督。</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扶强扶优，鼓励规范。专项资金扶持特色农产品品牌网销企业，鼓励和引导全县电子商务行业规范经营，诚实守信，做大做强。</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政府引导，示范带动。专项资金的使用管理应符合国家和省、市、区产业政策导向，充分发挥财政资金的引导作用，吸引社会资本投入，调动企业和社会发展电子商务的积极性。</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创新机制，高效科学。专项资金使用必须以提高资金使用效益为基本导向，增强资金使用的绩效观念，加强对资金使用的监督管理。</w:t>
      </w:r>
    </w:p>
    <w:p w:rsidR="00D16EB8" w:rsidRDefault="00D16EB8">
      <w:pPr>
        <w:spacing w:line="700" w:lineRule="exact"/>
        <w:ind w:firstLine="642"/>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职责与分工</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第四条</w:t>
      </w:r>
      <w:r>
        <w:rPr>
          <w:rFonts w:ascii="仿宋_GB2312" w:eastAsia="仿宋_GB2312" w:hAnsi="仿宋"/>
          <w:sz w:val="32"/>
          <w:szCs w:val="32"/>
        </w:rPr>
        <w:t xml:space="preserve"> </w:t>
      </w:r>
      <w:r>
        <w:rPr>
          <w:rFonts w:ascii="仿宋_GB2312" w:eastAsia="仿宋_GB2312" w:hAnsi="仿宋" w:hint="eastAsia"/>
          <w:sz w:val="32"/>
          <w:szCs w:val="32"/>
        </w:rPr>
        <w:t>专项资金由区财政局、区商务局、区扶贫移民局共同管理，负责检查监督项目实施进度、支持政策落实等情况。区财政局负责专项资金的拨付管理，对专项资金运作和使用情况进行监督绩效评估。</w:t>
      </w:r>
    </w:p>
    <w:p w:rsidR="00D16EB8" w:rsidRDefault="00D16EB8">
      <w:pPr>
        <w:spacing w:line="700" w:lineRule="exact"/>
        <w:ind w:firstLine="642"/>
        <w:rPr>
          <w:rFonts w:ascii="仿宋_GB2312" w:eastAsia="仿宋_GB2312" w:hAnsi="仿宋"/>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资金的申报、审批和拨付</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第五条</w:t>
      </w:r>
      <w:r>
        <w:rPr>
          <w:rFonts w:ascii="仿宋_GB2312" w:eastAsia="仿宋_GB2312" w:hAnsi="仿宋"/>
          <w:sz w:val="32"/>
          <w:szCs w:val="32"/>
        </w:rPr>
        <w:t xml:space="preserve"> </w:t>
      </w:r>
      <w:r>
        <w:rPr>
          <w:rFonts w:ascii="仿宋_GB2312" w:eastAsia="仿宋_GB2312" w:hAnsi="仿宋" w:hint="eastAsia"/>
          <w:sz w:val="32"/>
          <w:szCs w:val="32"/>
        </w:rPr>
        <w:t>申请专项资金的承办单位（企业）应当符合以下条件：</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具备独立法人资格、从事或应用电子商务业务。</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产权明晰，管理规范，具有健全的内部财务管理制度，三年内无违法或受到行政处罚的纪录。</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符合专项资金申报条件的其他要求。</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第六条</w:t>
      </w:r>
      <w:r>
        <w:rPr>
          <w:rFonts w:ascii="仿宋_GB2312" w:eastAsia="仿宋_GB2312" w:hAnsi="仿宋"/>
          <w:sz w:val="32"/>
          <w:szCs w:val="32"/>
        </w:rPr>
        <w:t xml:space="preserve"> </w:t>
      </w:r>
      <w:r>
        <w:rPr>
          <w:rFonts w:ascii="仿宋_GB2312" w:eastAsia="仿宋_GB2312" w:hAnsi="仿宋" w:hint="eastAsia"/>
          <w:sz w:val="32"/>
          <w:szCs w:val="32"/>
        </w:rPr>
        <w:t>专项资金的审批和拨付。由符合专项资金申请条件的单位（企业）将资金拨付请示、财政专项资金计划审批表和相关项目资料报区商务局；区商务局会同区财政局、区扶贫移民局审核后，根据项目实施进度等情况提出资金拨付意见报区政府领导审签同意，区财政局按专项资金拨付程序拨付资金。</w:t>
      </w:r>
    </w:p>
    <w:p w:rsidR="00D16EB8" w:rsidRDefault="00D16EB8">
      <w:pPr>
        <w:spacing w:line="700" w:lineRule="exact"/>
        <w:ind w:firstLine="642"/>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项目的实施与验收</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第七条</w:t>
      </w:r>
      <w:r>
        <w:rPr>
          <w:rFonts w:ascii="仿宋_GB2312" w:eastAsia="仿宋_GB2312" w:hAnsi="仿宋"/>
          <w:sz w:val="32"/>
          <w:szCs w:val="32"/>
        </w:rPr>
        <w:t xml:space="preserve"> </w:t>
      </w:r>
      <w:r>
        <w:rPr>
          <w:rFonts w:ascii="仿宋_GB2312" w:eastAsia="仿宋_GB2312" w:hAnsi="仿宋" w:hint="eastAsia"/>
          <w:sz w:val="32"/>
          <w:szCs w:val="32"/>
        </w:rPr>
        <w:t>项目完成后，由项目实施单位（企业）报送书面验收申请。广安区人民政府责成广安区财政局、商务局、区扶贫移民局组织聘请专家根据项目验收方案进行验收，并出具初步验收意见，初验通过后书面报上级主管部门正式验收。</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第八条</w:t>
      </w:r>
      <w:r>
        <w:rPr>
          <w:rFonts w:ascii="仿宋_GB2312" w:eastAsia="仿宋_GB2312" w:hAnsi="仿宋"/>
          <w:sz w:val="32"/>
          <w:szCs w:val="32"/>
        </w:rPr>
        <w:t xml:space="preserve"> </w:t>
      </w:r>
      <w:r>
        <w:rPr>
          <w:rFonts w:ascii="仿宋_GB2312" w:eastAsia="仿宋_GB2312" w:hAnsi="仿宋" w:hint="eastAsia"/>
          <w:sz w:val="32"/>
          <w:szCs w:val="32"/>
        </w:rPr>
        <w:t>获得专项资金支持的项目实施单位（企业）不得随意调整项目</w:t>
      </w:r>
      <w:r>
        <w:rPr>
          <w:rFonts w:ascii="仿宋_GB2312" w:eastAsia="仿宋_GB2312" w:hAnsi="仿宋"/>
          <w:sz w:val="32"/>
          <w:szCs w:val="32"/>
        </w:rPr>
        <w:t>,</w:t>
      </w:r>
      <w:r>
        <w:rPr>
          <w:rFonts w:ascii="仿宋_GB2312" w:eastAsia="仿宋_GB2312" w:hAnsi="仿宋" w:hint="eastAsia"/>
          <w:sz w:val="32"/>
          <w:szCs w:val="32"/>
        </w:rPr>
        <w:t>如有特殊情况确需调整的，需经同级财政、商务、扶贫部门同意，上报至省财政厅、商务厅审批同意后，方可调整。</w:t>
      </w:r>
    </w:p>
    <w:p w:rsidR="00D16EB8" w:rsidRDefault="00D16EB8">
      <w:pPr>
        <w:spacing w:line="700" w:lineRule="exact"/>
        <w:ind w:firstLine="642"/>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专项资金的监督和管理</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第九条</w:t>
      </w:r>
      <w:r>
        <w:rPr>
          <w:rFonts w:ascii="仿宋_GB2312" w:eastAsia="仿宋_GB2312" w:hAnsi="仿宋"/>
          <w:sz w:val="32"/>
          <w:szCs w:val="32"/>
        </w:rPr>
        <w:t xml:space="preserve"> </w:t>
      </w:r>
      <w:r>
        <w:rPr>
          <w:rFonts w:ascii="仿宋_GB2312" w:eastAsia="仿宋_GB2312" w:hAnsi="仿宋" w:hint="eastAsia"/>
          <w:sz w:val="32"/>
          <w:szCs w:val="32"/>
        </w:rPr>
        <w:t>区财政局、商务局、扶贫移民局应认真做好项目申报和资金监管工作，定期对资金使用情况进行监督检查，确保专项资金安全有效。</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第十条</w:t>
      </w:r>
      <w:r>
        <w:rPr>
          <w:rFonts w:ascii="仿宋_GB2312" w:eastAsia="仿宋_GB2312" w:hAnsi="仿宋"/>
          <w:sz w:val="32"/>
          <w:szCs w:val="32"/>
        </w:rPr>
        <w:t xml:space="preserve"> </w:t>
      </w:r>
      <w:r>
        <w:rPr>
          <w:rFonts w:ascii="仿宋_GB2312" w:eastAsia="仿宋_GB2312" w:hAnsi="仿宋" w:hint="eastAsia"/>
          <w:sz w:val="32"/>
          <w:szCs w:val="32"/>
        </w:rPr>
        <w:t>项目实施单位（企业）收到财政补助资金后，应严格执行项目资金使用的有关规定，严格按照国家有关会计、财政法规及现行财务制度有关规定进行账务处理。向区财政局、商务局、扶贫移民局报告项目资金使用情况。区财政、商务、扶贫部门应在项目实施结束后三个月内将项目实施情况和资金使用情况总结上报至省市财政、商务、扶贫部门。</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第十一条</w:t>
      </w:r>
      <w:r>
        <w:rPr>
          <w:rFonts w:ascii="仿宋_GB2312" w:eastAsia="仿宋_GB2312" w:hAnsi="仿宋"/>
          <w:sz w:val="32"/>
          <w:szCs w:val="32"/>
        </w:rPr>
        <w:t xml:space="preserve"> </w:t>
      </w:r>
      <w:r>
        <w:rPr>
          <w:rFonts w:ascii="仿宋_GB2312" w:eastAsia="仿宋_GB2312" w:hAnsi="仿宋" w:hint="eastAsia"/>
          <w:sz w:val="32"/>
          <w:szCs w:val="32"/>
        </w:rPr>
        <w:t>专项资金必须专款专用，对违反规定使用专项资金的，一经查实，将全额追回已拨付的款项，并取消该单位（企业）三年内申报电子商务扶持方面资金的资格。对弄虚作假、截留、挪用、挤占专项资金等行为，按《财政违法行为处罚处分条例》（国务院令第</w:t>
      </w:r>
      <w:r>
        <w:rPr>
          <w:rFonts w:ascii="仿宋_GB2312" w:eastAsia="仿宋_GB2312" w:hAnsi="仿宋"/>
          <w:sz w:val="32"/>
          <w:szCs w:val="32"/>
        </w:rPr>
        <w:t>427</w:t>
      </w:r>
      <w:r>
        <w:rPr>
          <w:rFonts w:ascii="仿宋_GB2312" w:eastAsia="仿宋_GB2312" w:hAnsi="仿宋" w:hint="eastAsia"/>
          <w:sz w:val="32"/>
          <w:szCs w:val="32"/>
        </w:rPr>
        <w:t>号）的相关规定进行处理。构成犯罪的，依法追究刑事责任。</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第十二条</w:t>
      </w:r>
      <w:r>
        <w:rPr>
          <w:rFonts w:ascii="仿宋_GB2312" w:eastAsia="仿宋_GB2312" w:hAnsi="仿宋"/>
          <w:sz w:val="32"/>
          <w:szCs w:val="32"/>
        </w:rPr>
        <w:t xml:space="preserve"> </w:t>
      </w:r>
      <w:r>
        <w:rPr>
          <w:rFonts w:ascii="仿宋_GB2312" w:eastAsia="仿宋_GB2312" w:hAnsi="仿宋" w:hint="eastAsia"/>
          <w:sz w:val="32"/>
          <w:szCs w:val="32"/>
        </w:rPr>
        <w:t>专项资金坚持统筹使用的原则，若其中一个子项中资金安排不足，经区财政局、商务局、扶贫移民局会商报区政府批准同意后调剂使用。</w:t>
      </w:r>
    </w:p>
    <w:p w:rsidR="00D16EB8" w:rsidRDefault="00D16EB8">
      <w:pPr>
        <w:spacing w:line="700" w:lineRule="exact"/>
        <w:ind w:firstLine="642"/>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sz w:val="32"/>
          <w:szCs w:val="32"/>
        </w:rPr>
        <w:t xml:space="preserve"> </w:t>
      </w:r>
      <w:r>
        <w:rPr>
          <w:rFonts w:ascii="黑体" w:eastAsia="黑体" w:hAnsi="黑体" w:cs="黑体" w:hint="eastAsia"/>
          <w:sz w:val="32"/>
          <w:szCs w:val="32"/>
        </w:rPr>
        <w:t>附则</w:t>
      </w:r>
    </w:p>
    <w:p w:rsidR="00D16EB8" w:rsidRDefault="00D16EB8">
      <w:pPr>
        <w:spacing w:line="700" w:lineRule="exact"/>
        <w:ind w:firstLine="642"/>
        <w:rPr>
          <w:rFonts w:ascii="仿宋_GB2312" w:eastAsia="仿宋_GB2312" w:hAnsi="仿宋"/>
          <w:sz w:val="32"/>
          <w:szCs w:val="32"/>
        </w:rPr>
      </w:pPr>
      <w:r>
        <w:rPr>
          <w:rFonts w:ascii="仿宋_GB2312" w:eastAsia="仿宋_GB2312" w:hAnsi="仿宋" w:hint="eastAsia"/>
          <w:b/>
          <w:bCs/>
          <w:sz w:val="32"/>
          <w:szCs w:val="32"/>
        </w:rPr>
        <w:t>第十三条</w:t>
      </w:r>
      <w:r>
        <w:rPr>
          <w:rFonts w:ascii="仿宋_GB2312" w:eastAsia="仿宋_GB2312" w:hAnsi="仿宋"/>
          <w:sz w:val="32"/>
          <w:szCs w:val="32"/>
        </w:rPr>
        <w:t xml:space="preserve"> </w:t>
      </w:r>
      <w:r>
        <w:rPr>
          <w:rFonts w:ascii="仿宋_GB2312" w:eastAsia="仿宋_GB2312" w:hAnsi="仿宋" w:hint="eastAsia"/>
          <w:sz w:val="32"/>
          <w:szCs w:val="32"/>
        </w:rPr>
        <w:t>本制度自发布之日起实施，至项目实施完毕止。由区财政局、商务局、扶贫移民局负责解释</w:t>
      </w:r>
      <w:r>
        <w:rPr>
          <w:rFonts w:ascii="仿宋_GB2312" w:eastAsia="仿宋_GB2312" w:hAnsi="仿宋"/>
          <w:sz w:val="32"/>
          <w:szCs w:val="32"/>
        </w:rPr>
        <w:t xml:space="preserve">, </w:t>
      </w:r>
      <w:r>
        <w:rPr>
          <w:rFonts w:ascii="仿宋_GB2312" w:eastAsia="仿宋_GB2312" w:hAnsi="仿宋" w:hint="eastAsia"/>
          <w:sz w:val="32"/>
          <w:szCs w:val="32"/>
        </w:rPr>
        <w:t>如遇有关政策调整将作相应变更。</w:t>
      </w: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ind w:firstLineChars="100" w:firstLine="280"/>
        <w:rPr>
          <w:rFonts w:ascii="仿宋_GB2312" w:eastAsia="仿宋_GB2312" w:hAnsi="仿宋"/>
          <w:sz w:val="28"/>
          <w:szCs w:val="28"/>
        </w:rPr>
      </w:pPr>
    </w:p>
    <w:p w:rsidR="00D16EB8" w:rsidRDefault="00D16EB8">
      <w:pPr>
        <w:spacing w:line="660" w:lineRule="exact"/>
        <w:rPr>
          <w:rFonts w:ascii="仿宋_GB2312" w:eastAsia="仿宋_GB2312" w:hAnsi="仿宋"/>
          <w:sz w:val="28"/>
          <w:szCs w:val="28"/>
        </w:rPr>
      </w:pPr>
    </w:p>
    <w:p w:rsidR="00D16EB8" w:rsidRDefault="00D16EB8"/>
    <w:sectPr w:rsidR="00D16EB8" w:rsidSect="00170474">
      <w:headerReference w:type="default" r:id="rId7"/>
      <w:footerReference w:type="default" r:id="rId8"/>
      <w:pgSz w:w="11906" w:h="16838"/>
      <w:pgMar w:top="2098" w:right="1474" w:bottom="1984" w:left="1587"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EB8" w:rsidRDefault="00D16EB8" w:rsidP="00170474">
      <w:r>
        <w:separator/>
      </w:r>
    </w:p>
  </w:endnote>
  <w:endnote w:type="continuationSeparator" w:id="0">
    <w:p w:rsidR="00D16EB8" w:rsidRDefault="00D16EB8" w:rsidP="00170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B8" w:rsidRDefault="00D16EB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4.15pt;margin-top:-1.45pt;width:44.15pt;height:18.5pt;z-index:251660288;mso-position-horizontal:outside;mso-position-horizontal-relative:margin" filled="f" stroked="f">
          <v:textbox style="mso-next-textbox:#_x0000_s2049" inset="0,0,0,0">
            <w:txbxContent>
              <w:p w:rsidR="00D16EB8" w:rsidRDefault="00D16EB8">
                <w:pPr>
                  <w:snapToGrid w:val="0"/>
                  <w:rPr>
                    <w:rFonts w:ascii="仿宋_GB2312" w:eastAsia="仿宋_GB2312" w:hAnsi="仿宋_GB2312" w:cs="仿宋_GB2312"/>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EB8" w:rsidRDefault="00D16EB8" w:rsidP="00170474">
      <w:r>
        <w:separator/>
      </w:r>
    </w:p>
  </w:footnote>
  <w:footnote w:type="continuationSeparator" w:id="0">
    <w:p w:rsidR="00D16EB8" w:rsidRDefault="00D16EB8" w:rsidP="00170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B8" w:rsidRDefault="00D16EB8" w:rsidP="00EE427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9A5ED"/>
    <w:multiLevelType w:val="singleLevel"/>
    <w:tmpl w:val="5819A5ED"/>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4"/>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537585"/>
    <w:rsid w:val="00170474"/>
    <w:rsid w:val="002B3042"/>
    <w:rsid w:val="007E25BA"/>
    <w:rsid w:val="00D16EB8"/>
    <w:rsid w:val="00D2091C"/>
    <w:rsid w:val="00EE4279"/>
    <w:rsid w:val="05183EB0"/>
    <w:rsid w:val="73076B73"/>
    <w:rsid w:val="7C5375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7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04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9672B"/>
    <w:rPr>
      <w:sz w:val="18"/>
      <w:szCs w:val="18"/>
    </w:rPr>
  </w:style>
  <w:style w:type="character" w:customStyle="1" w:styleId="font51">
    <w:name w:val="font51"/>
    <w:basedOn w:val="DefaultParagraphFont"/>
    <w:uiPriority w:val="99"/>
    <w:rsid w:val="00170474"/>
    <w:rPr>
      <w:rFonts w:ascii="宋体" w:eastAsia="宋体" w:hAnsi="宋体" w:cs="宋体"/>
      <w:color w:val="000000"/>
      <w:sz w:val="20"/>
      <w:szCs w:val="20"/>
      <w:u w:val="none"/>
    </w:rPr>
  </w:style>
  <w:style w:type="paragraph" w:styleId="Header">
    <w:name w:val="header"/>
    <w:basedOn w:val="Normal"/>
    <w:link w:val="HeaderChar"/>
    <w:uiPriority w:val="99"/>
    <w:rsid w:val="00EE42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967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270</Words>
  <Characters>1540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项目大类</dc:title>
  <dc:subject/>
  <dc:creator>Administrator</dc:creator>
  <cp:keywords/>
  <dc:description/>
  <cp:lastModifiedBy>gayy</cp:lastModifiedBy>
  <cp:revision>2</cp:revision>
  <dcterms:created xsi:type="dcterms:W3CDTF">2016-11-17T02:07:00Z</dcterms:created>
  <dcterms:modified xsi:type="dcterms:W3CDTF">2016-11-17T02:07:00Z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